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Times New Roman" w:hAnsi="Times New Roman"/>
        </w:rPr>
      </w:pPr>
      <w:bookmarkStart w:id="0" w:name="OLE_LINK24"/>
      <w:bookmarkStart w:id="1" w:name="OLE_LINK33"/>
      <w:bookmarkStart w:id="2" w:name="OLE_LINK13"/>
      <w:bookmarkStart w:id="3" w:name="OLE_LINK12"/>
      <w:bookmarkStart w:id="4" w:name="OLE_LINK34"/>
      <w:r>
        <w:rPr>
          <w:rFonts w:ascii="Times New Roman" w:hAnsi="Times New Roman"/>
          <w:b/>
        </w:rPr>
        <w:t>3GPP TSG RAN WG1 Meeting #10</w:t>
      </w:r>
      <w:r>
        <w:rPr>
          <w:rFonts w:hint="eastAsia" w:ascii="Times New Roman" w:hAnsi="Times New Roman"/>
          <w:b/>
        </w:rPr>
        <w:t>5-</w:t>
      </w:r>
      <w:r>
        <w:rPr>
          <w:rFonts w:ascii="Times New Roman" w:hAnsi="Times New Roman"/>
          <w:b/>
        </w:rPr>
        <w:t xml:space="preserve">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R1-2104590</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ascii="Times New Roman" w:hAnsi="Times New Roman"/>
          <w:b/>
        </w:rPr>
        <w:t xml:space="preserve">e-Meeting, </w:t>
      </w:r>
      <w:r>
        <w:rPr>
          <w:rFonts w:hint="eastAsia" w:ascii="Times New Roman" w:hAnsi="Times New Roman"/>
          <w:b/>
        </w:rPr>
        <w:t>May</w:t>
      </w:r>
      <w:r>
        <w:rPr>
          <w:rFonts w:ascii="Times New Roman" w:hAnsi="Times New Roman"/>
          <w:b/>
        </w:rPr>
        <w:t xml:space="preserve"> </w:t>
      </w:r>
      <w:r>
        <w:rPr>
          <w:rFonts w:hint="eastAsia" w:ascii="Times New Roman" w:hAnsi="Times New Roman"/>
          <w:b/>
        </w:rPr>
        <w:t>10</w:t>
      </w:r>
      <w:r>
        <w:rPr>
          <w:rFonts w:ascii="Times New Roman" w:hAnsi="Times New Roman"/>
          <w:b/>
          <w:vertAlign w:val="superscript"/>
        </w:rPr>
        <w:t>th</w:t>
      </w:r>
      <w:r>
        <w:rPr>
          <w:rFonts w:ascii="Times New Roman" w:hAnsi="Times New Roman"/>
          <w:b/>
        </w:rPr>
        <w:t xml:space="preserve"> – </w:t>
      </w:r>
      <w:r>
        <w:rPr>
          <w:rFonts w:hint="eastAsia" w:ascii="Times New Roman" w:hAnsi="Times New Roman"/>
          <w:b/>
        </w:rPr>
        <w:t>May</w:t>
      </w:r>
      <w:r>
        <w:rPr>
          <w:rFonts w:ascii="Times New Roman" w:hAnsi="Times New Roman"/>
          <w:b/>
        </w:rPr>
        <w:t xml:space="preserve"> </w:t>
      </w:r>
      <w:r>
        <w:rPr>
          <w:rFonts w:hint="eastAsia" w:ascii="Times New Roman" w:hAnsi="Times New Roman"/>
          <w:b/>
        </w:rPr>
        <w:t>27</w:t>
      </w:r>
      <w:r>
        <w:rPr>
          <w:rFonts w:ascii="Times New Roman" w:hAnsi="Times New Roman"/>
          <w:b/>
          <w:vertAlign w:val="superscript"/>
        </w:rPr>
        <w:t>th</w:t>
      </w:r>
      <w:r>
        <w:rPr>
          <w:rFonts w:ascii="Times New Roman" w:hAnsi="Times New Roman"/>
          <w:b/>
        </w:rPr>
        <w:t>, 202</w:t>
      </w:r>
      <w:r>
        <w:rPr>
          <w:rFonts w:hint="eastAsia" w:ascii="Times New Roman" w:hAnsi="Times New Roman"/>
          <w:b/>
        </w:rPr>
        <w:t>1</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747" w:right="2" w:hanging="1747" w:hangingChars="791"/>
        <w:jc w:val="both"/>
        <w:rPr>
          <w:rFonts w:ascii="Times New Roman" w:hAnsi="Times New Roman" w:eastAsia="宋体"/>
          <w:b/>
        </w:rPr>
      </w:pPr>
      <w:r>
        <w:rPr>
          <w:rFonts w:ascii="Times New Roman" w:hAnsi="Times New Roman" w:eastAsia="宋体"/>
          <w:b/>
        </w:rPr>
        <w:t xml:space="preserve">Title:           </w:t>
      </w:r>
      <w:r>
        <w:rPr>
          <w:rFonts w:hint="eastAsia" w:ascii="Times New Roman" w:hAnsi="Times New Roman" w:eastAsia="宋体"/>
          <w:b/>
        </w:rPr>
        <w:t>Positioning accuracy improvement by mitigating timing delay</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1</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3GPP</w:t>
      </w:r>
      <w:r>
        <w:rPr>
          <w:rFonts w:hint="eastAsia" w:ascii="Times New Roman" w:hAnsi="Times New Roman"/>
          <w:sz w:val="20"/>
          <w:szCs w:val="20"/>
        </w:rPr>
        <w:t xml:space="preserve"> </w:t>
      </w:r>
      <w:r>
        <w:rPr>
          <w:rFonts w:ascii="Times New Roman" w:hAnsi="Times New Roman"/>
          <w:sz w:val="20"/>
          <w:szCs w:val="20"/>
        </w:rPr>
        <w:t>RAN</w:t>
      </w:r>
      <w:r>
        <w:rPr>
          <w:rFonts w:hint="eastAsia" w:ascii="Times New Roman" w:hAnsi="Times New Roman"/>
          <w:sz w:val="20"/>
          <w:szCs w:val="20"/>
        </w:rPr>
        <w:t>1#104-bis-e m</w:t>
      </w:r>
      <w:r>
        <w:rPr>
          <w:rFonts w:ascii="Times New Roman" w:hAnsi="Times New Roman"/>
          <w:sz w:val="20"/>
          <w:szCs w:val="20"/>
        </w:rPr>
        <w:t>eeting</w:t>
      </w:r>
      <w:r>
        <w:rPr>
          <w:rFonts w:hint="eastAsia" w:ascii="Times New Roman" w:hAnsi="Times New Roman"/>
          <w:sz w:val="20"/>
          <w:szCs w:val="20"/>
        </w:rPr>
        <w:t>, down selection of solutions for DL-TDOA, UL-TDOA and multi-RTT method has been achieved. I</w:t>
      </w:r>
      <w:r>
        <w:rPr>
          <w:rFonts w:ascii="Times New Roman" w:hAnsi="Times New Roman"/>
          <w:sz w:val="20"/>
          <w:szCs w:val="20"/>
        </w:rPr>
        <w:t xml:space="preserve">n this contribution, we provide our views on </w:t>
      </w:r>
      <w:r>
        <w:rPr>
          <w:rFonts w:hint="eastAsia" w:ascii="Times New Roman" w:hAnsi="Times New Roman"/>
          <w:sz w:val="20"/>
          <w:szCs w:val="20"/>
        </w:rPr>
        <w:t xml:space="preserve">further details for </w:t>
      </w:r>
      <w:r>
        <w:rPr>
          <w:rFonts w:ascii="Times New Roman" w:hAnsi="Times New Roman"/>
          <w:sz w:val="20"/>
          <w:szCs w:val="20"/>
        </w:rPr>
        <w:t>mitigating UE Rx/Tx and/or gNB Rx/Tx timing delays</w:t>
      </w:r>
      <w:r>
        <w:rPr>
          <w:rFonts w:hint="eastAsia" w:ascii="Times New Roman" w:hAnsi="Times New Roman"/>
          <w:sz w:val="20"/>
          <w:szCs w:val="20"/>
        </w:rPr>
        <w:t xml:space="preserve"> based on the agreements and conclusions in last meeting [1].</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Options for DL</w:t>
      </w:r>
      <w:r>
        <w:rPr>
          <w:rFonts w:hint="eastAsia" w:ascii="Times New Roman" w:hAnsi="Times New Roman"/>
          <w:sz w:val="28"/>
          <w:lang w:val="en-US"/>
        </w:rPr>
        <w:t>+</w:t>
      </w:r>
      <w:r>
        <w:rPr>
          <w:rFonts w:ascii="Times New Roman" w:hAnsi="Times New Roman"/>
          <w:sz w:val="28"/>
          <w:lang w:val="en-US"/>
        </w:rPr>
        <w:t>UL positioning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88"/>
              <w:adjustRightInd w:val="0"/>
              <w:snapToGrid w:val="0"/>
              <w:spacing w:before="180" w:beforeLines="50" w:after="180" w:afterLines="50" w:line="240" w:lineRule="auto"/>
              <w:ind w:left="0"/>
              <w:jc w:val="both"/>
              <w:rPr>
                <w:rFonts w:ascii="Times New Roman" w:hAnsi="Times New Roman" w:eastAsia="宋体"/>
                <w:b/>
                <w:bCs/>
                <w:sz w:val="20"/>
                <w:szCs w:val="20"/>
              </w:rPr>
            </w:pPr>
            <w:r>
              <w:rPr>
                <w:rFonts w:hint="eastAsia" w:ascii="Times New Roman" w:hAnsi="Times New Roman" w:eastAsia="宋体"/>
                <w:b/>
                <w:bCs/>
                <w:sz w:val="20"/>
                <w:szCs w:val="20"/>
              </w:rPr>
              <w:t>Agreement：</w:t>
            </w:r>
          </w:p>
          <w:p>
            <w:pPr>
              <w:pStyle w:val="88"/>
              <w:adjustRightInd w:val="0"/>
              <w:snapToGrid w:val="0"/>
              <w:spacing w:before="180" w:beforeLines="50" w:after="180" w:afterLines="50" w:line="240" w:lineRule="auto"/>
              <w:ind w:left="0"/>
              <w:jc w:val="both"/>
              <w:rPr>
                <w:rFonts w:ascii="Times New Roman" w:hAnsi="Times New Roman"/>
                <w:sz w:val="20"/>
                <w:szCs w:val="20"/>
              </w:rPr>
            </w:pPr>
            <w:r>
              <w:rPr>
                <w:rFonts w:ascii="Times New Roman" w:hAnsi="Times New Roman" w:eastAsia="宋体"/>
                <w:sz w:val="20"/>
                <w:szCs w:val="20"/>
              </w:rPr>
              <w:t xml:space="preserve">For mitigating UE/TRP Tx/Rx timing errors for </w:t>
            </w:r>
            <w:r>
              <w:rPr>
                <w:rFonts w:ascii="Times New Roman" w:hAnsi="Times New Roman"/>
                <w:sz w:val="20"/>
                <w:szCs w:val="20"/>
              </w:rPr>
              <w:t>DL+UL positioning, support one of the following alternatives:</w:t>
            </w:r>
          </w:p>
          <w:p>
            <w:pPr>
              <w:pStyle w:val="88"/>
              <w:numPr>
                <w:ilvl w:val="0"/>
                <w:numId w:val="3"/>
              </w:num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Alt.1: Support a UE to provide the association information of a UE Rx-Tx time difference measurement with a pair of {Rx TEG, Tx TEG} to LMF, where the Rx TEG is used to receive the DL PRS and the Tx TEG is used to transmit the UL Positioning SRS;</w:t>
            </w:r>
          </w:p>
          <w:p>
            <w:pPr>
              <w:pStyle w:val="88"/>
              <w:numPr>
                <w:ilvl w:val="0"/>
                <w:numId w:val="3"/>
              </w:num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sz w:val="20"/>
                <w:szCs w:val="20"/>
              </w:rPr>
              <w:t>Alt.2: S</w:t>
            </w:r>
            <w:r>
              <w:rPr>
                <w:rFonts w:ascii="Times New Roman" w:hAnsi="Times New Roman" w:eastAsia="宋体"/>
                <w:sz w:val="20"/>
                <w:szCs w:val="20"/>
              </w:rPr>
              <w:t xml:space="preserve">upport a UE to provide the association information of a UE Rx-Tx time difference measurement with a UE RxTx TEG to LMF according to the one of the 2 following options: </w:t>
            </w:r>
          </w:p>
          <w:p>
            <w:pPr>
              <w:pStyle w:val="88"/>
              <w:numPr>
                <w:ilvl w:val="1"/>
                <w:numId w:val="3"/>
              </w:num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Option 1: the UE RxTx TEG is associated with one or more {DL PRS resource, UL Positioning SRS resource} pairs</w:t>
            </w:r>
          </w:p>
          <w:p>
            <w:pPr>
              <w:pStyle w:val="88"/>
              <w:numPr>
                <w:ilvl w:val="2"/>
                <w:numId w:val="3"/>
              </w:num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FFS:  whether UE provides the association information of DL PRS resources to UE Rx TEG to LMF for </w:t>
            </w:r>
            <w:r>
              <w:rPr>
                <w:rFonts w:ascii="Times New Roman" w:hAnsi="Times New Roman"/>
                <w:sz w:val="20"/>
                <w:szCs w:val="20"/>
              </w:rPr>
              <w:t>UE RxTx measurements</w:t>
            </w:r>
            <w:r>
              <w:rPr>
                <w:rFonts w:ascii="Times New Roman" w:hAnsi="Times New Roman" w:eastAsia="宋体"/>
                <w:sz w:val="20"/>
                <w:szCs w:val="20"/>
              </w:rPr>
              <w:t xml:space="preserve"> specifically</w:t>
            </w:r>
          </w:p>
          <w:p>
            <w:pPr>
              <w:pStyle w:val="88"/>
              <w:numPr>
                <w:ilvl w:val="1"/>
                <w:numId w:val="3"/>
              </w:num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Option 2: the UE RxTx TEG is associated with one or more {Rx TEG, Tx TEG} pairs where the Rx TEG is used to receive the DL PRS and the Tx TEG is used to transmit the UL Positioning SRS.</w:t>
            </w:r>
          </w:p>
          <w:p>
            <w:pPr>
              <w:pStyle w:val="88"/>
              <w:numPr>
                <w:ilvl w:val="0"/>
                <w:numId w:val="3"/>
              </w:num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For both alterntives, the UE may provide the association information of SRS resources for positioning to UE Tx TEG to LMF </w:t>
            </w:r>
          </w:p>
          <w:p>
            <w:pPr>
              <w:pStyle w:val="88"/>
              <w:numPr>
                <w:ilvl w:val="1"/>
                <w:numId w:val="3"/>
              </w:num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FFS: Whether the association information is sent directly from UE to LMF, or is first provided to gNB and then forwarded to LMF</w:t>
            </w:r>
          </w:p>
          <w:p>
            <w:pPr>
              <w:pStyle w:val="88"/>
              <w:numPr>
                <w:ilvl w:val="0"/>
                <w:numId w:val="3"/>
              </w:numPr>
              <w:adjustRightInd w:val="0"/>
              <w:snapToGrid w:val="0"/>
              <w:spacing w:before="180" w:beforeLines="50" w:after="180" w:afterLines="50" w:line="240" w:lineRule="auto"/>
              <w:jc w:val="both"/>
              <w:rPr>
                <w:rFonts w:ascii="Times New Roman" w:hAnsi="Times New Roman" w:eastAsia="MS Mincho"/>
                <w:i/>
                <w:iCs/>
                <w:sz w:val="24"/>
                <w:szCs w:val="24"/>
              </w:rPr>
            </w:pPr>
            <w:r>
              <w:rPr>
                <w:rFonts w:ascii="Times New Roman" w:hAnsi="Times New Roman" w:eastAsia="宋体"/>
                <w:sz w:val="20"/>
                <w:szCs w:val="20"/>
              </w:rPr>
              <w:t>FFS: the details of the signalling, procedures, and UE capability</w:t>
            </w:r>
          </w:p>
        </w:tc>
      </w:tr>
    </w:tbl>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sz w:val="20"/>
          <w:szCs w:val="20"/>
        </w:rPr>
        <w:t xml:space="preserve">Both alt 1 and alt 2 reached a consensus that Rx TEG and Tx TEG can be seen as a combination, i.e., </w:t>
      </w:r>
      <w:r>
        <w:rPr>
          <w:rFonts w:ascii="Times New Roman" w:hAnsi="Times New Roman" w:eastAsia="宋体"/>
          <w:sz w:val="20"/>
          <w:szCs w:val="20"/>
        </w:rPr>
        <w:t>{Rx TEG, Tx TEG} pairs</w:t>
      </w:r>
      <w:r>
        <w:rPr>
          <w:rFonts w:hint="eastAsia" w:ascii="Times New Roman" w:hAnsi="Times New Roman" w:eastAsia="宋体"/>
          <w:sz w:val="20"/>
          <w:szCs w:val="20"/>
        </w:rPr>
        <w:t xml:space="preserve">. </w:t>
      </w:r>
      <w:r>
        <w:rPr>
          <w:rFonts w:hint="eastAsia" w:ascii="Times New Roman" w:hAnsi="Times New Roman"/>
          <w:sz w:val="20"/>
          <w:szCs w:val="20"/>
        </w:rPr>
        <w:t>Compared with alt 1, a</w:t>
      </w:r>
      <w:r>
        <w:rPr>
          <w:rFonts w:ascii="Times New Roman" w:hAnsi="Times New Roman"/>
          <w:sz w:val="20"/>
          <w:szCs w:val="20"/>
        </w:rPr>
        <w:t xml:space="preserve">lt 2 </w:t>
      </w:r>
      <w:r>
        <w:rPr>
          <w:rFonts w:hint="eastAsia" w:ascii="Times New Roman" w:hAnsi="Times New Roman"/>
          <w:sz w:val="20"/>
          <w:szCs w:val="20"/>
        </w:rPr>
        <w:t xml:space="preserve">is one step further that it requires UE to provide a </w:t>
      </w:r>
      <w:r>
        <w:rPr>
          <w:rFonts w:ascii="Times New Roman" w:hAnsi="Times New Roman" w:eastAsia="宋体"/>
          <w:sz w:val="20"/>
          <w:szCs w:val="20"/>
        </w:rPr>
        <w:t xml:space="preserve">UE RxTx TEG </w:t>
      </w:r>
      <w:r>
        <w:rPr>
          <w:rFonts w:hint="eastAsia" w:ascii="Times New Roman" w:hAnsi="Times New Roman" w:eastAsia="宋体"/>
          <w:sz w:val="20"/>
          <w:szCs w:val="20"/>
        </w:rPr>
        <w:t>additionally</w:t>
      </w:r>
      <w:r>
        <w:rPr>
          <w:rFonts w:hint="eastAsia" w:ascii="Times New Roman" w:hAnsi="Times New Roman"/>
          <w:sz w:val="20"/>
          <w:szCs w:val="20"/>
        </w:rPr>
        <w:t>. However, it should be UE</w:t>
      </w:r>
      <w:r>
        <w:rPr>
          <w:rFonts w:ascii="Times New Roman" w:hAnsi="Times New Roman"/>
          <w:sz w:val="20"/>
          <w:szCs w:val="20"/>
        </w:rPr>
        <w:t>’</w:t>
      </w:r>
      <w:r>
        <w:rPr>
          <w:rFonts w:hint="eastAsia" w:ascii="Times New Roman" w:hAnsi="Times New Roman"/>
          <w:sz w:val="20"/>
          <w:szCs w:val="20"/>
        </w:rPr>
        <w:t xml:space="preserve">s capability to distinguish whether multiple </w:t>
      </w:r>
      <w:r>
        <w:rPr>
          <w:rFonts w:ascii="Times New Roman" w:hAnsi="Times New Roman" w:eastAsia="宋体"/>
          <w:sz w:val="20"/>
          <w:szCs w:val="20"/>
        </w:rPr>
        <w:t>{Rx TEG, Tx TEG} pair</w:t>
      </w:r>
      <w:r>
        <w:rPr>
          <w:rFonts w:hint="eastAsia" w:ascii="Times New Roman" w:hAnsi="Times New Roman" w:eastAsia="宋体"/>
          <w:sz w:val="20"/>
          <w:szCs w:val="20"/>
        </w:rPr>
        <w:t xml:space="preserve">s are in a same </w:t>
      </w:r>
      <w:r>
        <w:rPr>
          <w:rFonts w:ascii="Times New Roman" w:hAnsi="Times New Roman" w:eastAsia="宋体"/>
          <w:sz w:val="20"/>
          <w:szCs w:val="20"/>
        </w:rPr>
        <w:t>RxTx TEG</w:t>
      </w:r>
      <w:r>
        <w:rPr>
          <w:rFonts w:hint="eastAsia" w:ascii="Times New Roman" w:hAnsi="Times New Roman" w:eastAsia="宋体"/>
          <w:sz w:val="20"/>
          <w:szCs w:val="20"/>
        </w:rPr>
        <w:t>.</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 compromised solution is that, before measurement, </w:t>
      </w:r>
      <w:r>
        <w:rPr>
          <w:rFonts w:hint="eastAsia" w:ascii="Times New Roman" w:hAnsi="Times New Roman"/>
          <w:sz w:val="20"/>
          <w:szCs w:val="20"/>
        </w:rPr>
        <w:t xml:space="preserve">which </w:t>
      </w:r>
      <w:r>
        <w:rPr>
          <w:rFonts w:ascii="Times New Roman" w:hAnsi="Times New Roman" w:eastAsia="宋体"/>
          <w:sz w:val="20"/>
          <w:szCs w:val="20"/>
        </w:rPr>
        <w:t>{Rx TEG, Tx TEG} pair</w:t>
      </w:r>
      <w:r>
        <w:rPr>
          <w:rFonts w:hint="eastAsia" w:ascii="Times New Roman" w:hAnsi="Times New Roman" w:eastAsia="宋体"/>
          <w:sz w:val="20"/>
          <w:szCs w:val="20"/>
        </w:rPr>
        <w:t xml:space="preserve">s are in a same </w:t>
      </w:r>
      <w:r>
        <w:rPr>
          <w:rFonts w:ascii="Times New Roman" w:hAnsi="Times New Roman" w:eastAsia="宋体"/>
          <w:sz w:val="20"/>
          <w:szCs w:val="20"/>
        </w:rPr>
        <w:t>RxTx TEG</w:t>
      </w:r>
      <w:r>
        <w:rPr>
          <w:rFonts w:hint="eastAsia" w:ascii="Times New Roman" w:hAnsi="Times New Roman" w:eastAsia="宋体"/>
          <w:sz w:val="20"/>
          <w:szCs w:val="20"/>
        </w:rPr>
        <w:t xml:space="preserve"> can be reported to LMF via UE capability. Afterwords, </w:t>
      </w:r>
      <w:r>
        <w:rPr>
          <w:rFonts w:ascii="Times New Roman" w:hAnsi="Times New Roman" w:eastAsia="宋体"/>
          <w:sz w:val="20"/>
          <w:szCs w:val="20"/>
        </w:rPr>
        <w:t xml:space="preserve">the </w:t>
      </w:r>
      <w:r>
        <w:rPr>
          <w:rFonts w:ascii="Times New Roman" w:hAnsi="Times New Roman"/>
          <w:sz w:val="20"/>
          <w:szCs w:val="20"/>
        </w:rPr>
        <w:t>UE provide</w:t>
      </w:r>
      <w:r>
        <w:rPr>
          <w:rFonts w:hint="eastAsia" w:ascii="Times New Roman" w:hAnsi="Times New Roman"/>
          <w:sz w:val="20"/>
          <w:szCs w:val="20"/>
        </w:rPr>
        <w:t>s</w:t>
      </w:r>
      <w:r>
        <w:rPr>
          <w:rFonts w:ascii="Times New Roman" w:hAnsi="Times New Roman"/>
          <w:sz w:val="20"/>
          <w:szCs w:val="20"/>
        </w:rPr>
        <w:t xml:space="preserve"> the association information of a UE Rx-Tx time difference measurement with a pair of {Rx TEG, Tx TEG} to LMF, where the Rx TEG is used to receive the DL PRS and the Tx TEG is used to transmit the UL </w:t>
      </w:r>
      <w:r>
        <w:rPr>
          <w:rFonts w:hint="eastAsia" w:ascii="Times New Roman" w:hAnsi="Times New Roman"/>
          <w:sz w:val="20"/>
          <w:szCs w:val="20"/>
        </w:rPr>
        <w:t>p</w:t>
      </w:r>
      <w:r>
        <w:rPr>
          <w:rFonts w:ascii="Times New Roman" w:hAnsi="Times New Roman"/>
          <w:sz w:val="20"/>
          <w:szCs w:val="20"/>
        </w:rPr>
        <w:t>ositioning SRS</w:t>
      </w:r>
      <w:r>
        <w:rPr>
          <w:rFonts w:hint="eastAsia" w:ascii="Times New Roman" w:hAnsi="Times New Roman"/>
          <w:sz w:val="20"/>
          <w:szCs w:val="20"/>
        </w:rPr>
        <w:t>, i.e. alt 1. In this way, UE only needs to report</w:t>
      </w:r>
      <w:r>
        <w:rPr>
          <w:rFonts w:hint="eastAsia" w:ascii="Times New Roman" w:hAnsi="Times New Roman" w:eastAsia="宋体"/>
          <w:sz w:val="20"/>
          <w:szCs w:val="20"/>
        </w:rPr>
        <w:t xml:space="preserve"> its behavior like receiving PRS with which Rx TEG and sending SRS with which Tx TEG, LMF will determine which Rx-Tx time difference measurements have the same Rx+Tx timing error and combine them according to UE capability</w:t>
      </w:r>
      <w:r>
        <w:rPr>
          <w:rFonts w:ascii="Times New Roman" w:hAnsi="Times New Roman" w:eastAsia="宋体"/>
          <w:sz w:val="20"/>
          <w:szCs w:val="20"/>
        </w:rPr>
        <w:t xml:space="preserve"> report</w:t>
      </w:r>
      <w:r>
        <w:rPr>
          <w:rFonts w:hint="eastAsia" w:ascii="Times New Roman" w:hAnsi="Times New Roman" w:eastAsia="宋体"/>
          <w:sz w:val="20"/>
          <w:szCs w:val="20"/>
        </w:rPr>
        <w:t>.</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 </w:t>
      </w:r>
      <w:r>
        <w:rPr>
          <w:rFonts w:hint="eastAsia" w:ascii="Times New Roman" w:hAnsi="Times New Roman" w:eastAsia="宋体"/>
          <w:i/>
          <w:iCs/>
          <w:sz w:val="20"/>
          <w:szCs w:val="20"/>
        </w:rPr>
        <w:t xml:space="preserve">For DL+UL positioning, </w:t>
      </w:r>
      <w:r>
        <w:rPr>
          <w:rFonts w:ascii="Times New Roman" w:hAnsi="Times New Roman" w:eastAsia="宋体"/>
          <w:i/>
          <w:iCs/>
          <w:sz w:val="20"/>
          <w:szCs w:val="20"/>
        </w:rPr>
        <w:t xml:space="preserve">support a UE to </w:t>
      </w:r>
      <w:r>
        <w:rPr>
          <w:rFonts w:ascii="Times New Roman" w:hAnsi="Times New Roman"/>
          <w:i/>
          <w:iCs/>
          <w:sz w:val="20"/>
          <w:szCs w:val="20"/>
        </w:rPr>
        <w:t xml:space="preserve">provide the association information of a UE Rx-Tx time difference measurement with a pair of {Rx TEG, Tx TEG} to LMF. </w:t>
      </w:r>
    </w:p>
    <w:p>
      <w:pPr>
        <w:pStyle w:val="88"/>
        <w:numPr>
          <w:ilvl w:val="0"/>
          <w:numId w:val="4"/>
        </w:numPr>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i/>
          <w:iCs/>
          <w:sz w:val="20"/>
          <w:szCs w:val="20"/>
        </w:rPr>
        <w:t>S</w:t>
      </w:r>
      <w:r>
        <w:rPr>
          <w:rFonts w:hint="eastAsia" w:ascii="Times New Roman" w:hAnsi="Times New Roman" w:eastAsia="宋体"/>
          <w:i/>
          <w:iCs/>
          <w:sz w:val="20"/>
          <w:szCs w:val="20"/>
        </w:rPr>
        <w:t xml:space="preserve">upport an additional UE capability to indicate </w:t>
      </w:r>
      <w:r>
        <w:rPr>
          <w:rFonts w:hint="eastAsia" w:ascii="Times New Roman" w:hAnsi="Times New Roman"/>
          <w:i/>
          <w:iCs/>
          <w:sz w:val="20"/>
          <w:szCs w:val="20"/>
        </w:rPr>
        <w:t xml:space="preserve">which </w:t>
      </w:r>
      <w:r>
        <w:rPr>
          <w:rFonts w:ascii="Times New Roman" w:hAnsi="Times New Roman" w:eastAsia="宋体"/>
          <w:i/>
          <w:iCs/>
          <w:sz w:val="20"/>
          <w:szCs w:val="20"/>
        </w:rPr>
        <w:t>{Rx TEG, Tx TEG} pair</w:t>
      </w:r>
      <w:r>
        <w:rPr>
          <w:rFonts w:hint="eastAsia" w:ascii="Times New Roman" w:hAnsi="Times New Roman" w:eastAsia="宋体"/>
          <w:i/>
          <w:iCs/>
          <w:sz w:val="20"/>
          <w:szCs w:val="20"/>
        </w:rPr>
        <w:t xml:space="preserve">s are in a same </w:t>
      </w:r>
      <w:r>
        <w:rPr>
          <w:rFonts w:ascii="Times New Roman" w:hAnsi="Times New Roman" w:eastAsia="宋体"/>
          <w:i/>
          <w:iCs/>
          <w:sz w:val="20"/>
          <w:szCs w:val="20"/>
        </w:rPr>
        <w:t>RxTx TEG</w:t>
      </w:r>
      <w:r>
        <w:rPr>
          <w:rFonts w:hint="eastAsia" w:ascii="Times New Roman" w:hAnsi="Times New Roman" w:eastAsia="宋体"/>
          <w:i/>
          <w:iCs/>
          <w:sz w:val="20"/>
          <w:szCs w:val="20"/>
        </w:rPr>
        <w:t>.</w:t>
      </w:r>
    </w:p>
    <w:p>
      <w:pPr>
        <w:pStyle w:val="2"/>
        <w:keepNext w:val="0"/>
        <w:keepLines w:val="0"/>
        <w:pageBreakBefore w:val="0"/>
        <w:widowControl w:val="0"/>
        <w:kinsoku/>
        <w:wordWrap/>
        <w:overflowPunct/>
        <w:topLinePunct w:val="0"/>
        <w:autoSpaceDE w:val="0"/>
        <w:autoSpaceDN w:val="0"/>
        <w:bidi w:val="0"/>
        <w:adjustRightInd w:val="0"/>
        <w:snapToGrid w:val="0"/>
        <w:spacing w:before="181" w:beforeLines="50" w:after="181" w:afterLines="50"/>
        <w:ind w:left="431" w:hanging="431"/>
        <w:jc w:val="both"/>
        <w:textAlignment w:val="auto"/>
        <w:rPr>
          <w:rFonts w:ascii="Times New Roman" w:hAnsi="Times New Roman"/>
          <w:sz w:val="28"/>
          <w:szCs w:val="28"/>
          <w:lang w:val="en-US"/>
        </w:rPr>
      </w:pPr>
      <w:r>
        <w:rPr>
          <w:rFonts w:hint="eastAsia" w:ascii="Times New Roman" w:hAnsi="Times New Roman"/>
          <w:sz w:val="28"/>
          <w:lang w:val="en-US" w:eastAsia="zh-CN"/>
        </w:rPr>
        <w:t>Remaining issues</w:t>
      </w:r>
      <w:r>
        <w:rPr>
          <w:rFonts w:ascii="Times New Roman" w:hAnsi="Times New Roman"/>
          <w:sz w:val="28"/>
          <w:lang w:val="en-US"/>
        </w:rPr>
        <w:t xml:space="preserve"> for UL</w:t>
      </w:r>
      <w:r>
        <w:rPr>
          <w:rFonts w:hint="eastAsia" w:ascii="Times New Roman" w:hAnsi="Times New Roman"/>
          <w:sz w:val="28"/>
          <w:lang w:val="en-US" w:eastAsia="zh-CN"/>
        </w:rPr>
        <w:t>-TDOA</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88"/>
              <w:adjustRightInd w:val="0"/>
              <w:snapToGrid w:val="0"/>
              <w:spacing w:before="180" w:beforeLines="50" w:after="180" w:afterLines="50" w:line="240" w:lineRule="auto"/>
              <w:ind w:left="0"/>
              <w:jc w:val="both"/>
              <w:rPr>
                <w:rFonts w:ascii="Times New Roman" w:hAnsi="Times New Roman" w:eastAsia="宋体"/>
                <w:sz w:val="20"/>
                <w:szCs w:val="20"/>
              </w:rPr>
            </w:pPr>
            <w:r>
              <w:rPr>
                <w:rFonts w:hint="eastAsia" w:ascii="Times New Roman" w:hAnsi="Times New Roman" w:eastAsia="宋体"/>
                <w:b/>
                <w:bCs/>
                <w:sz w:val="20"/>
                <w:szCs w:val="20"/>
              </w:rPr>
              <w:t>Agreement：</w:t>
            </w:r>
          </w:p>
          <w:p>
            <w:pPr>
              <w:pStyle w:val="88"/>
              <w:adjustRightInd w:val="0"/>
              <w:snapToGrid w:val="0"/>
              <w:spacing w:before="180" w:beforeLines="50" w:after="180" w:afterLines="50" w:line="240" w:lineRule="auto"/>
              <w:ind w:left="0"/>
              <w:jc w:val="both"/>
              <w:rPr>
                <w:rFonts w:ascii="Times New Roman" w:hAnsi="Times New Roman" w:eastAsia="宋体"/>
                <w:sz w:val="20"/>
                <w:szCs w:val="20"/>
              </w:rPr>
            </w:pPr>
            <w:r>
              <w:rPr>
                <w:rFonts w:ascii="Times New Roman" w:hAnsi="Times New Roman" w:eastAsia="宋体"/>
                <w:sz w:val="20"/>
                <w:szCs w:val="20"/>
              </w:rPr>
              <w:t>Support the following for mitigating UE Tx timing errors and/or TRP Rx timing errors for UL TDOA</w:t>
            </w:r>
          </w:p>
          <w:p>
            <w:pPr>
              <w:pStyle w:val="88"/>
              <w:numPr>
                <w:ilvl w:val="0"/>
                <w:numId w:val="3"/>
              </w:num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Support a TRP to provide the association information of RTOA measurements with TRP Rx TEG(s) to the LMF when the TRP reports the RTOA measurements to the LMF if the TRP has multiple Rx TEGs</w:t>
            </w:r>
          </w:p>
          <w:p>
            <w:pPr>
              <w:pStyle w:val="88"/>
              <w:numPr>
                <w:ilvl w:val="0"/>
                <w:numId w:val="3"/>
              </w:num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Support a UE to provide </w:t>
            </w:r>
            <w:r>
              <w:rPr>
                <w:rFonts w:ascii="Times New Roman" w:hAnsi="Times New Roman"/>
                <w:sz w:val="20"/>
                <w:szCs w:val="20"/>
                <w:lang w:val="en-IN"/>
              </w:rPr>
              <w:t xml:space="preserve">under capability </w:t>
            </w:r>
            <w:r>
              <w:rPr>
                <w:rFonts w:ascii="Times New Roman" w:hAnsi="Times New Roman" w:eastAsia="宋体"/>
                <w:sz w:val="20"/>
                <w:szCs w:val="20"/>
              </w:rPr>
              <w:t xml:space="preserve">the association information of UL SRS resources </w:t>
            </w:r>
            <w:r>
              <w:rPr>
                <w:rFonts w:ascii="Times New Roman" w:hAnsi="Times New Roman"/>
                <w:sz w:val="20"/>
                <w:szCs w:val="20"/>
                <w:lang w:val="en-IN"/>
              </w:rPr>
              <w:t xml:space="preserve">for positioning </w:t>
            </w:r>
            <w:r>
              <w:rPr>
                <w:rFonts w:ascii="Times New Roman" w:hAnsi="Times New Roman" w:eastAsia="宋体"/>
                <w:sz w:val="20"/>
                <w:szCs w:val="20"/>
              </w:rPr>
              <w:t>with Tx TEGs to the LMF if the UE has multiple Tx TEGs</w:t>
            </w:r>
          </w:p>
          <w:p>
            <w:pPr>
              <w:pStyle w:val="88"/>
              <w:numPr>
                <w:ilvl w:val="1"/>
                <w:numId w:val="3"/>
              </w:numPr>
              <w:tabs>
                <w:tab w:val="left" w:pos="1440"/>
                <w:tab w:val="left" w:pos="2160"/>
              </w:tabs>
              <w:adjustRightInd w:val="0"/>
              <w:snapToGrid w:val="0"/>
              <w:spacing w:before="180" w:beforeLines="50" w:after="180" w:afterLines="50" w:line="240" w:lineRule="auto"/>
              <w:jc w:val="both"/>
              <w:rPr>
                <w:rFonts w:ascii="Times New Roman" w:hAnsi="Times New Roman"/>
                <w:sz w:val="20"/>
                <w:szCs w:val="20"/>
                <w:lang w:val="en-IN"/>
              </w:rPr>
            </w:pPr>
            <w:r>
              <w:rPr>
                <w:rFonts w:ascii="Times New Roman" w:hAnsi="Times New Roman"/>
                <w:sz w:val="20"/>
                <w:szCs w:val="20"/>
                <w:lang w:val="en-IN"/>
              </w:rPr>
              <w:t>FFS: Whether to support a UE to provide the association information of UL SRS resources for MIMO with Tx TEGs to the LMF if the UE has multiple Tx TEGs</w:t>
            </w:r>
          </w:p>
          <w:p>
            <w:pPr>
              <w:pStyle w:val="88"/>
              <w:numPr>
                <w:ilvl w:val="1"/>
                <w:numId w:val="3"/>
              </w:num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FFS: Whether the association information is sent directly from UE to LMF, or is first provided to gNB and then forwarded to LMF  </w:t>
            </w:r>
          </w:p>
          <w:p>
            <w:pPr>
              <w:pStyle w:val="88"/>
              <w:numPr>
                <w:ilvl w:val="0"/>
                <w:numId w:val="3"/>
              </w:numPr>
              <w:adjustRightInd w:val="0"/>
              <w:snapToGrid w:val="0"/>
              <w:spacing w:before="180" w:beforeLines="50" w:after="180" w:afterLines="50" w:line="240" w:lineRule="auto"/>
              <w:jc w:val="both"/>
              <w:rPr>
                <w:rFonts w:ascii="Times New Roman" w:hAnsi="Times New Roman" w:eastAsia="MS Mincho"/>
                <w:i/>
                <w:iCs/>
                <w:sz w:val="20"/>
                <w:szCs w:val="20"/>
              </w:rPr>
            </w:pPr>
            <w:r>
              <w:rPr>
                <w:rFonts w:ascii="Times New Roman" w:hAnsi="Times New Roman" w:eastAsia="宋体"/>
                <w:sz w:val="20"/>
                <w:szCs w:val="20"/>
              </w:rPr>
              <w:t>FFS: the details of the Signaling, procedures, and UE capability</w:t>
            </w:r>
          </w:p>
        </w:tc>
      </w:tr>
    </w:tbl>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above agreement of UL-TDOA was agreed in RAN1#104b-e meeting. The</w:t>
      </w:r>
      <w:r>
        <w:rPr>
          <w:rFonts w:hint="eastAsia" w:ascii="Times New Roman" w:hAnsi="Times New Roman" w:cs="Times New Roman"/>
          <w:sz w:val="20"/>
          <w:szCs w:val="20"/>
          <w:lang w:val="en-US" w:eastAsia="zh-CN"/>
        </w:rPr>
        <w:t>re are two remaining</w:t>
      </w:r>
      <w:r>
        <w:rPr>
          <w:rFonts w:hint="default" w:ascii="Times New Roman" w:hAnsi="Times New Roman" w:cs="Times New Roman"/>
          <w:sz w:val="20"/>
          <w:szCs w:val="20"/>
          <w:lang w:val="en-US" w:eastAsia="zh-CN"/>
        </w:rPr>
        <w:t xml:space="preserve"> issues needed to be </w:t>
      </w:r>
      <w:r>
        <w:rPr>
          <w:rFonts w:hint="eastAsia" w:ascii="Times New Roman" w:hAnsi="Times New Roman" w:cs="Times New Roman"/>
          <w:sz w:val="20"/>
          <w:szCs w:val="20"/>
          <w:lang w:val="en-US" w:eastAsia="zh-CN"/>
        </w:rPr>
        <w:t xml:space="preserve">further </w:t>
      </w:r>
      <w:r>
        <w:rPr>
          <w:rFonts w:hint="default" w:ascii="Times New Roman" w:hAnsi="Times New Roman" w:cs="Times New Roman"/>
          <w:sz w:val="20"/>
          <w:szCs w:val="20"/>
          <w:lang w:val="en-US" w:eastAsia="zh-CN"/>
        </w:rPr>
        <w:t>discussed:</w:t>
      </w:r>
    </w:p>
    <w:p>
      <w:pPr>
        <w:keepNext w:val="0"/>
        <w:keepLines w:val="0"/>
        <w:pageBreakBefore w:val="0"/>
        <w:widowControl/>
        <w:numPr>
          <w:ilvl w:val="0"/>
          <w:numId w:val="5"/>
        </w:numPr>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Whether MIMO SRS can be associated with Tx TEGs or not. </w:t>
      </w:r>
    </w:p>
    <w:p>
      <w:pPr>
        <w:numPr>
          <w:ilvl w:val="0"/>
          <w:numId w:val="5"/>
        </w:numPr>
        <w:adjustRightInd/>
        <w:snapToGrid w:val="0"/>
        <w:spacing w:before="181" w:beforeLines="50" w:after="181" w:afterLines="50" w:line="240" w:lineRule="auto"/>
        <w:rPr>
          <w:rFonts w:hint="default" w:ascii="Times New Roman" w:hAnsi="Times New Roman"/>
          <w:sz w:val="24"/>
          <w:szCs w:val="24"/>
          <w:lang w:val="en-US" w:eastAsia="zh-CN"/>
        </w:rPr>
      </w:pPr>
      <w:r>
        <w:rPr>
          <w:rFonts w:hint="default" w:ascii="Times New Roman" w:hAnsi="Times New Roman" w:cs="Times New Roman"/>
          <w:sz w:val="20"/>
          <w:szCs w:val="20"/>
          <w:lang w:val="en-US" w:eastAsia="zh-CN"/>
        </w:rPr>
        <w:t>How to report UE Tx TEGs to LMF.</w:t>
      </w:r>
    </w:p>
    <w:p>
      <w:pPr>
        <w:pStyle w:val="3"/>
        <w:adjustRightInd w:val="0"/>
        <w:snapToGrid w:val="0"/>
        <w:spacing w:before="181" w:beforeLines="50" w:after="181" w:afterLines="50" w:line="240" w:lineRule="auto"/>
        <w:ind w:left="720" w:hanging="578"/>
        <w:jc w:val="both"/>
        <w:rPr>
          <w:rFonts w:hint="default" w:ascii="Times New Roman" w:hAnsi="Times New Roman"/>
          <w:sz w:val="24"/>
          <w:szCs w:val="24"/>
          <w:lang w:val="en-US" w:eastAsia="zh-CN"/>
        </w:rPr>
      </w:pPr>
      <w:r>
        <w:rPr>
          <w:rFonts w:hint="default" w:ascii="Times New Roman" w:hAnsi="Times New Roman"/>
          <w:sz w:val="24"/>
          <w:szCs w:val="24"/>
          <w:lang w:val="en-US" w:eastAsia="zh-CN"/>
        </w:rPr>
        <w:t>Tx TEG associated with MIMO SRS</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last meeting, a problem that whether UE Tx TEG can be associated with MIMO SRS and/or SRS port raised atten</w:t>
      </w:r>
      <w:r>
        <w:rPr>
          <w:rFonts w:hint="eastAsia" w:ascii="Times New Roman" w:hAnsi="Times New Roman"/>
          <w:sz w:val="20"/>
          <w:szCs w:val="20"/>
        </w:rPr>
        <w:t>t</w:t>
      </w:r>
      <w:r>
        <w:rPr>
          <w:rFonts w:ascii="Times New Roman" w:hAnsi="Times New Roman"/>
          <w:sz w:val="20"/>
          <w:szCs w:val="20"/>
        </w:rPr>
        <w:t>ion and caused intensi</w:t>
      </w:r>
      <w:r>
        <w:rPr>
          <w:rFonts w:hint="eastAsia" w:ascii="Times New Roman" w:hAnsi="Times New Roman"/>
          <w:sz w:val="20"/>
          <w:szCs w:val="20"/>
        </w:rPr>
        <w:t xml:space="preserve">ve discussion. </w:t>
      </w:r>
      <w:r>
        <w:rPr>
          <w:rFonts w:hint="eastAsia" w:ascii="Times New Roman" w:hAnsi="Times New Roman"/>
          <w:sz w:val="20"/>
          <w:szCs w:val="20"/>
          <w:lang w:val="en-US" w:eastAsia="zh-CN"/>
        </w:rPr>
        <w:t>I</w:t>
      </w:r>
      <w:r>
        <w:rPr>
          <w:rFonts w:hint="eastAsia" w:ascii="Times New Roman" w:hAnsi="Times New Roman"/>
          <w:sz w:val="20"/>
          <w:szCs w:val="20"/>
        </w:rPr>
        <w:t xml:space="preserve">t </w:t>
      </w:r>
      <w:r>
        <w:rPr>
          <w:rFonts w:hint="eastAsia" w:ascii="Times New Roman" w:hAnsi="Times New Roman"/>
          <w:sz w:val="20"/>
          <w:szCs w:val="20"/>
          <w:lang w:val="en-US" w:eastAsia="zh-CN"/>
        </w:rPr>
        <w:t>was</w:t>
      </w:r>
      <w:r>
        <w:rPr>
          <w:rFonts w:hint="eastAsia" w:ascii="Times New Roman" w:hAnsi="Times New Roman"/>
          <w:sz w:val="20"/>
          <w:szCs w:val="20"/>
        </w:rPr>
        <w:t xml:space="preserve"> agreed in Rel-16 that MIMO SRS can be used in UL-TDOA and UL-AoA positioning. It should be noted that MIMO SRS may have different kinds of usages, capabilities and antenna ports. So, not all kind of MIMO SRS transmission can be directly associated with Tx TEG. Therefore, it is important to </w:t>
      </w:r>
      <w:r>
        <w:rPr>
          <w:rFonts w:ascii="Times New Roman" w:hAnsi="Times New Roman"/>
          <w:sz w:val="20"/>
          <w:szCs w:val="20"/>
        </w:rPr>
        <w:t>identify</w:t>
      </w:r>
      <w:r>
        <w:rPr>
          <w:rFonts w:hint="eastAsia" w:ascii="Times New Roman" w:hAnsi="Times New Roman"/>
          <w:sz w:val="20"/>
          <w:szCs w:val="20"/>
        </w:rPr>
        <w:t xml:space="preserve"> which kind of MIMO SRS is able to be associated with port-specific Tx TEG, </w:t>
      </w:r>
      <w:bookmarkStart w:id="5" w:name="OLE_LINK1"/>
      <w:r>
        <w:rPr>
          <w:rFonts w:hint="eastAsia" w:ascii="Times New Roman" w:hAnsi="Times New Roman"/>
          <w:sz w:val="20"/>
          <w:szCs w:val="20"/>
        </w:rPr>
        <w:t>resource-specific Tx TEG</w:t>
      </w:r>
      <w:bookmarkEnd w:id="5"/>
      <w:r>
        <w:rPr>
          <w:rFonts w:hint="eastAsia" w:ascii="Times New Roman" w:hAnsi="Times New Roman"/>
          <w:sz w:val="20"/>
          <w:szCs w:val="20"/>
        </w:rPr>
        <w:t>, or resource set specific Tx TEG.</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SRS with the usage of </w:t>
      </w:r>
      <w:r>
        <w:rPr>
          <w:rFonts w:ascii="Times New Roman" w:hAnsi="Times New Roman"/>
          <w:sz w:val="20"/>
          <w:szCs w:val="20"/>
        </w:rPr>
        <w:t>‘</w:t>
      </w:r>
      <w:r>
        <w:rPr>
          <w:rFonts w:hint="eastAsia" w:ascii="Times New Roman" w:hAnsi="Times New Roman"/>
          <w:sz w:val="20"/>
          <w:szCs w:val="20"/>
        </w:rPr>
        <w:t>codebook</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case, UE antenna coherent capability is crucial </w:t>
      </w:r>
      <w:r>
        <w:rPr>
          <w:rFonts w:ascii="Times New Roman" w:hAnsi="Times New Roman"/>
          <w:sz w:val="20"/>
          <w:szCs w:val="20"/>
        </w:rPr>
        <w:t>to</w:t>
      </w:r>
      <w:r>
        <w:rPr>
          <w:rFonts w:hint="eastAsia" w:ascii="Times New Roman" w:hAnsi="Times New Roman"/>
          <w:sz w:val="20"/>
          <w:szCs w:val="20"/>
        </w:rPr>
        <w:t xml:space="preserve"> determine the number of Tx TEGs and the association between ports and Tx TEGs. Since the coherent antenna ports can adjust to the fixed transmission power and phase, it can be deduced that coherent ports have the capability to align their Tx timing error. For example, for a 4 Tx UE, non-coherent UE has 4 Tx TEGs, partial-coherent UE has 2 or 4 Tx TEGs, full-coherent UE has 1, 2 or 4 Tx TEGs.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Another important issue under the usage of </w:t>
      </w:r>
      <w:r>
        <w:rPr>
          <w:rFonts w:ascii="Times New Roman" w:hAnsi="Times New Roman"/>
          <w:sz w:val="20"/>
          <w:szCs w:val="20"/>
        </w:rPr>
        <w:t>‘</w:t>
      </w:r>
      <w:r>
        <w:rPr>
          <w:rFonts w:hint="eastAsia" w:ascii="Times New Roman" w:hAnsi="Times New Roman"/>
          <w:sz w:val="20"/>
          <w:szCs w:val="20"/>
        </w:rPr>
        <w:t>codebook</w:t>
      </w:r>
      <w:r>
        <w:rPr>
          <w:rFonts w:ascii="Times New Roman" w:hAnsi="Times New Roman"/>
          <w:sz w:val="20"/>
          <w:szCs w:val="20"/>
        </w:rPr>
        <w:t>’</w:t>
      </w:r>
      <w:r>
        <w:rPr>
          <w:rFonts w:hint="eastAsia" w:ascii="Times New Roman" w:hAnsi="Times New Roman"/>
          <w:sz w:val="20"/>
          <w:szCs w:val="20"/>
        </w:rPr>
        <w:t xml:space="preserve"> is the full power transmission mode. If full power mode 2 is configured, the UE performs port virtualization, and gNB doesn</w:t>
      </w:r>
      <w:r>
        <w:rPr>
          <w:rFonts w:ascii="Times New Roman" w:hAnsi="Times New Roman"/>
          <w:sz w:val="20"/>
          <w:szCs w:val="20"/>
        </w:rPr>
        <w:t>’</w:t>
      </w:r>
      <w:r>
        <w:rPr>
          <w:rFonts w:hint="eastAsia" w:ascii="Times New Roman" w:hAnsi="Times New Roman"/>
          <w:sz w:val="20"/>
          <w:szCs w:val="20"/>
        </w:rPr>
        <w:t xml:space="preserve">t know how UE virtualizes its antennas. In this case, how to associate Tx TEGs with antenna ports becomes a challenging endeavor and may have much spec impact. </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SRS with the usage of </w:t>
      </w:r>
      <w:r>
        <w:rPr>
          <w:rFonts w:ascii="Times New Roman" w:hAnsi="Times New Roman"/>
          <w:sz w:val="20"/>
          <w:szCs w:val="20"/>
        </w:rPr>
        <w:t>‘</w:t>
      </w:r>
      <w:r>
        <w:rPr>
          <w:rFonts w:hint="eastAsia" w:ascii="Times New Roman" w:hAnsi="Times New Roman"/>
          <w:sz w:val="20"/>
          <w:szCs w:val="20"/>
        </w:rPr>
        <w:t>non-codebook</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Rel-16, one SRS resource set with the usage of </w:t>
      </w:r>
      <w:r>
        <w:rPr>
          <w:rFonts w:ascii="Times New Roman" w:hAnsi="Times New Roman"/>
          <w:sz w:val="20"/>
          <w:szCs w:val="20"/>
        </w:rPr>
        <w:t>‘</w:t>
      </w:r>
      <w:r>
        <w:rPr>
          <w:rFonts w:hint="eastAsia" w:ascii="Times New Roman" w:hAnsi="Times New Roman"/>
          <w:sz w:val="20"/>
          <w:szCs w:val="20"/>
        </w:rPr>
        <w:t>non-codebook</w:t>
      </w:r>
      <w:r>
        <w:rPr>
          <w:rFonts w:ascii="Times New Roman" w:hAnsi="Times New Roman"/>
          <w:sz w:val="20"/>
          <w:szCs w:val="20"/>
        </w:rPr>
        <w:t>’</w:t>
      </w:r>
      <w:r>
        <w:rPr>
          <w:rFonts w:hint="eastAsia" w:ascii="Times New Roman" w:hAnsi="Times New Roman"/>
          <w:sz w:val="20"/>
          <w:szCs w:val="20"/>
        </w:rPr>
        <w:t xml:space="preserve"> can be configured, where one SRS resource set contains several single-port SRS resources. So Tx TEG associated with SRS resources </w:t>
      </w:r>
      <w:r>
        <w:rPr>
          <w:rFonts w:ascii="Times New Roman" w:hAnsi="Times New Roman"/>
          <w:sz w:val="20"/>
          <w:szCs w:val="20"/>
        </w:rPr>
        <w:t>seems</w:t>
      </w:r>
      <w:r>
        <w:rPr>
          <w:rFonts w:hint="eastAsia" w:ascii="Times New Roman" w:hAnsi="Times New Roman"/>
          <w:sz w:val="20"/>
          <w:szCs w:val="20"/>
        </w:rPr>
        <w:t xml:space="preserve"> enough.</w:t>
      </w:r>
      <w:r>
        <w:rPr>
          <w:rFonts w:ascii="Times New Roman" w:hAnsi="Times New Roman"/>
          <w:sz w:val="20"/>
          <w:szCs w:val="20"/>
        </w:rPr>
        <w:t xml:space="preserve"> However, one SRS port or resource may be virtualized by several Tx</w:t>
      </w:r>
      <w:r>
        <w:rPr>
          <w:rFonts w:hint="eastAsia" w:ascii="Times New Roman" w:hAnsi="Times New Roman"/>
          <w:sz w:val="20"/>
          <w:szCs w:val="20"/>
        </w:rPr>
        <w:t xml:space="preserve"> ports</w:t>
      </w:r>
      <w:r>
        <w:rPr>
          <w:rFonts w:ascii="Times New Roman" w:hAnsi="Times New Roman"/>
          <w:sz w:val="20"/>
          <w:szCs w:val="20"/>
        </w:rPr>
        <w:t xml:space="preserve"> based on DL RS measurement which is</w:t>
      </w:r>
      <w:r>
        <w:rPr>
          <w:rFonts w:hint="eastAsia" w:ascii="Times New Roman" w:hAnsi="Times New Roman"/>
          <w:sz w:val="20"/>
          <w:szCs w:val="20"/>
        </w:rPr>
        <w:t xml:space="preserve"> </w:t>
      </w:r>
      <w:r>
        <w:rPr>
          <w:rFonts w:ascii="Times New Roman" w:hAnsi="Times New Roman"/>
          <w:sz w:val="20"/>
          <w:szCs w:val="20"/>
        </w:rPr>
        <w:t>complete</w:t>
      </w:r>
      <w:r>
        <w:rPr>
          <w:rFonts w:hint="eastAsia" w:ascii="Times New Roman" w:hAnsi="Times New Roman"/>
          <w:sz w:val="20"/>
          <w:szCs w:val="20"/>
        </w:rPr>
        <w:t>ly up to</w:t>
      </w:r>
      <w:r>
        <w:rPr>
          <w:rFonts w:ascii="Times New Roman" w:hAnsi="Times New Roman"/>
          <w:sz w:val="20"/>
          <w:szCs w:val="20"/>
        </w:rPr>
        <w:t xml:space="preserve"> UE implementation. It is hard to associate Tx TEG and the SRS resource for non-codebook without UL MIMO impact.</w:t>
      </w:r>
      <w:r>
        <w:rPr>
          <w:rFonts w:hint="eastAsia" w:ascii="Times New Roman" w:hAnsi="Times New Roman"/>
          <w:sz w:val="20"/>
          <w:szCs w:val="20"/>
        </w:rPr>
        <w:t xml:space="preserve"> In addition, since non-codebook based transmission should satisfy channel correspondence for UL&amp;DL, which has </w:t>
      </w:r>
      <w:r>
        <w:rPr>
          <w:rFonts w:ascii="Times New Roman" w:hAnsi="Times New Roman"/>
          <w:sz w:val="20"/>
          <w:szCs w:val="20"/>
        </w:rPr>
        <w:t>rarely real</w:t>
      </w:r>
      <w:r>
        <w:rPr>
          <w:rFonts w:hint="eastAsia" w:ascii="Times New Roman" w:hAnsi="Times New Roman"/>
          <w:sz w:val="20"/>
          <w:szCs w:val="20"/>
        </w:rPr>
        <w:t xml:space="preserve"> deployment. Therefore, </w:t>
      </w:r>
      <w:r>
        <w:rPr>
          <w:rFonts w:ascii="Times New Roman" w:hAnsi="Times New Roman"/>
          <w:sz w:val="20"/>
          <w:szCs w:val="20"/>
        </w:rPr>
        <w:t>we think</w:t>
      </w:r>
      <w:r>
        <w:rPr>
          <w:rFonts w:hint="eastAsia" w:ascii="Times New Roman" w:hAnsi="Times New Roman"/>
          <w:sz w:val="20"/>
          <w:szCs w:val="20"/>
        </w:rPr>
        <w:t xml:space="preserve"> we should de-prioritize</w:t>
      </w:r>
      <w:r>
        <w:rPr>
          <w:rFonts w:ascii="Times New Roman" w:hAnsi="Times New Roman"/>
          <w:sz w:val="20"/>
          <w:szCs w:val="20"/>
        </w:rPr>
        <w:t xml:space="preserve"> </w:t>
      </w:r>
      <w:r>
        <w:rPr>
          <w:rFonts w:hint="eastAsia" w:ascii="Times New Roman" w:hAnsi="Times New Roman"/>
          <w:sz w:val="20"/>
          <w:szCs w:val="20"/>
        </w:rPr>
        <w:t xml:space="preserve">SRS with the usage of </w:t>
      </w:r>
      <w:r>
        <w:rPr>
          <w:rFonts w:ascii="Times New Roman" w:hAnsi="Times New Roman"/>
          <w:sz w:val="20"/>
          <w:szCs w:val="20"/>
        </w:rPr>
        <w:t>‘</w:t>
      </w:r>
      <w:r>
        <w:rPr>
          <w:rFonts w:hint="eastAsia" w:ascii="Times New Roman" w:hAnsi="Times New Roman"/>
          <w:sz w:val="20"/>
          <w:szCs w:val="20"/>
        </w:rPr>
        <w:t>non-codebook</w:t>
      </w:r>
      <w:r>
        <w:rPr>
          <w:rFonts w:ascii="Times New Roman" w:hAnsi="Times New Roman"/>
          <w:sz w:val="20"/>
          <w:szCs w:val="20"/>
        </w:rPr>
        <w:t>’</w:t>
      </w:r>
      <w:r>
        <w:rPr>
          <w:rFonts w:hint="eastAsia" w:ascii="Times New Roman" w:hAnsi="Times New Roman"/>
          <w:sz w:val="20"/>
          <w:szCs w:val="20"/>
          <w:lang w:val="en-US" w:eastAsia="zh-CN"/>
        </w:rPr>
        <w:t xml:space="preserve"> to apply for positioning.</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SRS with the usage of </w:t>
      </w:r>
      <w:r>
        <w:rPr>
          <w:rFonts w:ascii="Times New Roman" w:hAnsi="Times New Roman"/>
          <w:sz w:val="20"/>
          <w:szCs w:val="20"/>
        </w:rPr>
        <w:t>‘</w:t>
      </w:r>
      <w:r>
        <w:rPr>
          <w:rFonts w:hint="eastAsia" w:ascii="Times New Roman" w:hAnsi="Times New Roman"/>
          <w:sz w:val="20"/>
          <w:szCs w:val="20"/>
        </w:rPr>
        <w:t>beam management</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current 38.214</w:t>
      </w:r>
      <w:r>
        <w:rPr>
          <w:rFonts w:hint="eastAsia" w:ascii="Times New Roman" w:hAnsi="Times New Roman"/>
          <w:sz w:val="20"/>
          <w:szCs w:val="20"/>
        </w:rPr>
        <w:t xml:space="preserve">, the description of SRS resource with the usage of </w:t>
      </w:r>
      <w:r>
        <w:rPr>
          <w:rFonts w:ascii="Times New Roman" w:hAnsi="Times New Roman"/>
          <w:sz w:val="20"/>
          <w:szCs w:val="20"/>
        </w:rPr>
        <w:t>‘</w:t>
      </w:r>
      <w:r>
        <w:rPr>
          <w:rFonts w:hint="eastAsia" w:ascii="Times New Roman" w:hAnsi="Times New Roman"/>
          <w:sz w:val="20"/>
          <w:szCs w:val="20"/>
        </w:rPr>
        <w:t>beam management</w:t>
      </w:r>
      <w:r>
        <w:rPr>
          <w:rFonts w:ascii="Times New Roman" w:hAnsi="Times New Roman"/>
          <w:sz w:val="20"/>
          <w:szCs w:val="20"/>
        </w:rPr>
        <w:t>’</w:t>
      </w:r>
      <w:r>
        <w:rPr>
          <w:rFonts w:hint="eastAsia" w:ascii="Times New Roman" w:hAnsi="Times New Roman"/>
          <w:sz w:val="20"/>
          <w:szCs w:val="20"/>
        </w:rPr>
        <w:t xml:space="preserve"> implicitly indicates that each SRS resource set corresponds to one UE panel/RF chain. Therefore, i</w:t>
      </w:r>
      <w:r>
        <w:rPr>
          <w:rFonts w:ascii="Times New Roman" w:hAnsi="Times New Roman"/>
          <w:sz w:val="20"/>
          <w:szCs w:val="20"/>
        </w:rPr>
        <w:t xml:space="preserve">n each SRS resource set, it is reasonable that </w:t>
      </w:r>
      <w:r>
        <w:rPr>
          <w:rFonts w:hint="eastAsia" w:ascii="Times New Roman" w:hAnsi="Times New Roman"/>
          <w:sz w:val="20"/>
          <w:szCs w:val="20"/>
        </w:rPr>
        <w:t xml:space="preserve">all </w:t>
      </w:r>
      <w:r>
        <w:rPr>
          <w:rFonts w:ascii="Times New Roman" w:hAnsi="Times New Roman"/>
          <w:sz w:val="20"/>
          <w:szCs w:val="20"/>
        </w:rPr>
        <w:t xml:space="preserve">the SRSs have </w:t>
      </w:r>
      <w:r>
        <w:rPr>
          <w:rFonts w:hint="eastAsia" w:ascii="Times New Roman" w:hAnsi="Times New Roman"/>
          <w:sz w:val="20"/>
          <w:szCs w:val="20"/>
        </w:rPr>
        <w:t xml:space="preserve">the </w:t>
      </w:r>
      <w:r>
        <w:rPr>
          <w:rFonts w:ascii="Times New Roman" w:hAnsi="Times New Roman"/>
          <w:sz w:val="20"/>
          <w:szCs w:val="20"/>
        </w:rPr>
        <w:t xml:space="preserve">same </w:t>
      </w:r>
      <w:r>
        <w:rPr>
          <w:rFonts w:hint="eastAsia" w:ascii="Times New Roman" w:hAnsi="Times New Roman"/>
          <w:sz w:val="20"/>
          <w:szCs w:val="20"/>
        </w:rPr>
        <w:t xml:space="preserve">Tx </w:t>
      </w:r>
      <w:r>
        <w:rPr>
          <w:rFonts w:ascii="Times New Roman" w:hAnsi="Times New Roman"/>
          <w:sz w:val="20"/>
          <w:szCs w:val="20"/>
        </w:rPr>
        <w:t>timing error. So in beam management MIMO SRS, TEG should be associated with SRS resource set</w:t>
      </w:r>
      <w:r>
        <w:rPr>
          <w:rFonts w:hint="eastAsia" w:ascii="Times New Roman" w:hAnsi="Times New Roman"/>
          <w:sz w:val="20"/>
          <w:szCs w:val="20"/>
        </w:rPr>
        <w:t>, i.e., each SRS resource set corresponds to a Tx TEG.</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SRS with the usage of </w:t>
      </w:r>
      <w:r>
        <w:rPr>
          <w:rFonts w:ascii="Times New Roman" w:hAnsi="Times New Roman"/>
          <w:sz w:val="20"/>
          <w:szCs w:val="20"/>
        </w:rPr>
        <w:t>‘</w:t>
      </w:r>
      <w:r>
        <w:rPr>
          <w:rFonts w:hint="eastAsia" w:ascii="Times New Roman" w:hAnsi="Times New Roman"/>
          <w:sz w:val="20"/>
          <w:szCs w:val="20"/>
        </w:rPr>
        <w:t>antenna switching</w:t>
      </w:r>
      <w:r>
        <w:rPr>
          <w:rFonts w:ascii="Times New Roman" w:hAnsi="Times New Roman"/>
          <w:sz w:val="20"/>
          <w:szCs w:val="20"/>
        </w:rPr>
        <w:t>’</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When SRS is configured with the usage of </w:t>
      </w:r>
      <w:r>
        <w:rPr>
          <w:rFonts w:ascii="Times New Roman" w:hAnsi="Times New Roman"/>
          <w:sz w:val="20"/>
          <w:szCs w:val="20"/>
        </w:rPr>
        <w:t>‘</w:t>
      </w:r>
      <w:r>
        <w:rPr>
          <w:rFonts w:hint="eastAsia" w:ascii="Times New Roman" w:hAnsi="Times New Roman"/>
          <w:sz w:val="20"/>
          <w:szCs w:val="20"/>
        </w:rPr>
        <w:t>antenna switching</w:t>
      </w:r>
      <w:r>
        <w:rPr>
          <w:rFonts w:ascii="Times New Roman" w:hAnsi="Times New Roman"/>
          <w:sz w:val="20"/>
          <w:szCs w:val="20"/>
        </w:rPr>
        <w:t>’</w:t>
      </w:r>
      <w:r>
        <w:rPr>
          <w:rFonts w:hint="eastAsia" w:ascii="Times New Roman" w:hAnsi="Times New Roman"/>
          <w:sz w:val="20"/>
          <w:szCs w:val="20"/>
        </w:rPr>
        <w:t xml:space="preserve">, whether to associate Tx TEG with SRS port or SRS resource depends on UE antenna switching capability, i.e. xTyR. For example in xTxR, a single SRS with multiple ports are configured in a resource, so Tx TEG can be associated with SRS port; </w:t>
      </w:r>
      <w:r>
        <w:rPr>
          <w:rFonts w:ascii="Times New Roman" w:hAnsi="Times New Roman"/>
          <w:sz w:val="20"/>
          <w:szCs w:val="20"/>
        </w:rPr>
        <w:t xml:space="preserve">For </w:t>
      </w:r>
      <w:r>
        <w:rPr>
          <w:rFonts w:hint="eastAsia" w:ascii="Times New Roman" w:hAnsi="Times New Roman"/>
          <w:sz w:val="20"/>
          <w:szCs w:val="20"/>
        </w:rPr>
        <w:t>1</w:t>
      </w:r>
      <w:r>
        <w:rPr>
          <w:rFonts w:ascii="Times New Roman" w:hAnsi="Times New Roman"/>
          <w:sz w:val="20"/>
          <w:szCs w:val="20"/>
        </w:rPr>
        <w:t>T</w:t>
      </w:r>
      <w:r>
        <w:rPr>
          <w:rFonts w:hint="eastAsia" w:ascii="Times New Roman" w:hAnsi="Times New Roman"/>
          <w:sz w:val="20"/>
          <w:szCs w:val="20"/>
        </w:rPr>
        <w:t>y</w:t>
      </w:r>
      <w:r>
        <w:rPr>
          <w:rFonts w:ascii="Times New Roman" w:hAnsi="Times New Roman"/>
          <w:sz w:val="20"/>
          <w:szCs w:val="20"/>
        </w:rPr>
        <w:t xml:space="preserve">R, </w:t>
      </w:r>
      <w:r>
        <w:rPr>
          <w:rFonts w:hint="eastAsia" w:ascii="Times New Roman" w:hAnsi="Times New Roman"/>
          <w:sz w:val="20"/>
          <w:szCs w:val="20"/>
        </w:rPr>
        <w:t>x single-port SRS resources are in a resource set, so Tx TEG should be associated with SRS resource.</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general, MIMO SRS cannot be simply associated with Tx TEGs, at least different SRS usages should be considered. Furthermore, whether Tx TEG </w:t>
      </w:r>
      <w:r>
        <w:rPr>
          <w:rFonts w:hint="eastAsia" w:ascii="Times New Roman" w:hAnsi="Times New Roman"/>
          <w:sz w:val="20"/>
          <w:szCs w:val="20"/>
          <w:lang w:val="en-US" w:eastAsia="zh-CN"/>
        </w:rPr>
        <w:t xml:space="preserve">is </w:t>
      </w:r>
      <w:r>
        <w:rPr>
          <w:rFonts w:hint="eastAsia" w:ascii="Times New Roman" w:hAnsi="Times New Roman"/>
          <w:sz w:val="20"/>
          <w:szCs w:val="20"/>
        </w:rPr>
        <w:t>associate</w:t>
      </w:r>
      <w:r>
        <w:rPr>
          <w:rFonts w:hint="eastAsia" w:ascii="Times New Roman" w:hAnsi="Times New Roman"/>
          <w:sz w:val="20"/>
          <w:szCs w:val="20"/>
          <w:lang w:val="en-US" w:eastAsia="zh-CN"/>
        </w:rPr>
        <w:t>d</w:t>
      </w:r>
      <w:r>
        <w:rPr>
          <w:rFonts w:hint="eastAsia" w:ascii="Times New Roman" w:hAnsi="Times New Roman"/>
          <w:sz w:val="20"/>
          <w:szCs w:val="20"/>
        </w:rPr>
        <w:t xml:space="preserve"> with SRS resource, SRS resource set or SRS port depends on different SRS usages and UE capability, e.g. UE antenna coherent capability, UE antenna switching capability, etc. </w:t>
      </w:r>
    </w:p>
    <w:p>
      <w:pPr>
        <w:adjustRightInd w:val="0"/>
        <w:snapToGrid w:val="0"/>
        <w:spacing w:before="180" w:beforeLines="50" w:after="180" w:afterLines="50" w:line="240" w:lineRule="auto"/>
        <w:jc w:val="both"/>
        <w:rPr>
          <w:rFonts w:hint="eastAsia"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Whether Tx TEG is associated with SRS resource, SRS resource set or SRS port depends on different SRS usages and UE capability, e.g. UE antenna coherent capability, UE antenna switching capability, etc. </w:t>
      </w:r>
    </w:p>
    <w:p>
      <w:pPr>
        <w:pStyle w:val="3"/>
        <w:adjustRightInd w:val="0"/>
        <w:snapToGrid w:val="0"/>
        <w:spacing w:before="181" w:beforeLines="50" w:after="181" w:afterLines="50" w:line="240" w:lineRule="auto"/>
        <w:ind w:left="720" w:hanging="578"/>
        <w:jc w:val="both"/>
        <w:rPr>
          <w:rFonts w:hint="default" w:ascii="Times New Roman" w:hAnsi="Times New Roman"/>
          <w:sz w:val="24"/>
          <w:szCs w:val="24"/>
          <w:lang w:val="en-US" w:eastAsia="zh-CN"/>
        </w:rPr>
      </w:pPr>
      <w:r>
        <w:rPr>
          <w:rFonts w:hint="eastAsia" w:ascii="Times New Roman" w:hAnsi="Times New Roman"/>
          <w:sz w:val="24"/>
          <w:szCs w:val="24"/>
          <w:lang w:val="en-US" w:eastAsia="zh-CN"/>
        </w:rPr>
        <w:t>Report for UE Tx TEG</w:t>
      </w:r>
    </w:p>
    <w:p>
      <w:pPr>
        <w:adjustRightInd/>
        <w:snapToGrid w:val="0"/>
        <w:spacing w:before="181" w:beforeLines="50" w:after="181" w:afterLines="50" w:line="240" w:lineRule="auto"/>
        <w:jc w:val="both"/>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It is agreed that UE should report its Tx TEG information to LMF in UL-TDOA (or Tx TEG for Multi-RTT), and a FFS is w</w:t>
      </w:r>
      <w:r>
        <w:rPr>
          <w:rFonts w:ascii="Times New Roman" w:hAnsi="Times New Roman" w:eastAsia="宋体"/>
          <w:sz w:val="20"/>
          <w:szCs w:val="20"/>
        </w:rPr>
        <w:t>hether the association information is sent directly from UE to LMF, or is first provided to gNB and then forwarded to LMF</w:t>
      </w:r>
      <w:r>
        <w:rPr>
          <w:rFonts w:hint="eastAsia" w:ascii="Times New Roman" w:hAnsi="Times New Roman" w:eastAsia="宋体"/>
          <w:sz w:val="20"/>
          <w:szCs w:val="20"/>
          <w:lang w:val="en-US" w:eastAsia="zh-CN"/>
        </w:rPr>
        <w:t xml:space="preserve">. For a UE, there is no measurement report sent to LMF through LPP, or sent to serving gNB through RAN network, so if the </w:t>
      </w:r>
      <w:r>
        <w:rPr>
          <w:rFonts w:ascii="Times New Roman" w:hAnsi="Times New Roman"/>
          <w:sz w:val="20"/>
          <w:szCs w:val="20"/>
        </w:rPr>
        <w:t>aforementioned</w:t>
      </w:r>
      <w:r>
        <w:rPr>
          <w:rFonts w:hint="eastAsia" w:ascii="Times New Roman" w:hAnsi="Times New Roman"/>
          <w:sz w:val="20"/>
          <w:szCs w:val="20"/>
          <w:lang w:val="en-US" w:eastAsia="zh-CN"/>
        </w:rPr>
        <w:t xml:space="preserve"> </w:t>
      </w:r>
      <w:r>
        <w:rPr>
          <w:rFonts w:hint="eastAsia" w:ascii="Times New Roman" w:hAnsi="Times New Roman" w:eastAsia="宋体"/>
          <w:sz w:val="20"/>
          <w:szCs w:val="20"/>
          <w:lang w:val="en-US" w:eastAsia="zh-CN"/>
        </w:rPr>
        <w:t>association information is transmitted by UE, it can only be carried through UE capability. In this way, UE can not send its real-time TEG information to the network(the UE panel may spin or antennas may vibrate). For the low latency consideration, it is better to include UE Tx TEG information in the location measurement report to get real-time TEG information.</w:t>
      </w:r>
    </w:p>
    <w:p>
      <w:pPr>
        <w:adjustRightInd/>
        <w:snapToGrid w:val="0"/>
        <w:spacing w:before="181" w:beforeLines="50" w:after="181" w:afterLines="50" w:line="240" w:lineRule="auto"/>
        <w:jc w:val="both"/>
        <w:rPr>
          <w:rFonts w:hint="eastAsia" w:ascii="Times New Roman" w:hAnsi="Times New Roman"/>
          <w:i/>
          <w:iCs/>
          <w:sz w:val="20"/>
          <w:szCs w:val="20"/>
        </w:rPr>
      </w:pPr>
      <w:r>
        <w:rPr>
          <w:rFonts w:hint="eastAsia" w:ascii="Times New Roman" w:hAnsi="Times New Roman" w:eastAsia="宋体"/>
          <w:b/>
          <w:bCs/>
          <w:i/>
          <w:iCs/>
          <w:sz w:val="20"/>
          <w:szCs w:val="20"/>
          <w:lang w:val="en-US" w:eastAsia="zh-CN"/>
        </w:rPr>
        <w:t xml:space="preserve">Proposal 3: </w:t>
      </w:r>
      <w:r>
        <w:rPr>
          <w:rFonts w:hint="eastAsia" w:ascii="Times New Roman" w:hAnsi="Times New Roman" w:eastAsia="宋体"/>
          <w:b w:val="0"/>
          <w:bCs w:val="0"/>
          <w:i/>
          <w:iCs/>
          <w:sz w:val="20"/>
          <w:szCs w:val="20"/>
          <w:lang w:val="en-US" w:eastAsia="zh-CN"/>
        </w:rPr>
        <w:t>S</w:t>
      </w:r>
      <w:r>
        <w:rPr>
          <w:rFonts w:hint="eastAsia" w:ascii="Times New Roman" w:hAnsi="Times New Roman" w:eastAsia="宋体"/>
          <w:i/>
          <w:iCs/>
          <w:sz w:val="20"/>
          <w:szCs w:val="20"/>
          <w:lang w:val="en-US" w:eastAsia="zh-CN"/>
        </w:rPr>
        <w:t>upport to include UE Tx TEG information in location measurement report.</w:t>
      </w:r>
    </w:p>
    <w:p>
      <w:pPr>
        <w:pStyle w:val="2"/>
        <w:snapToGrid w:val="0"/>
        <w:spacing w:before="180" w:beforeLines="50" w:after="180" w:afterLines="50"/>
        <w:jc w:val="both"/>
        <w:rPr>
          <w:rFonts w:ascii="Times New Roman" w:hAnsi="Times New Roman"/>
          <w:sz w:val="28"/>
          <w:szCs w:val="28"/>
          <w:lang w:val="en-US"/>
        </w:rPr>
      </w:pPr>
      <w:r>
        <w:rPr>
          <w:rFonts w:hint="eastAsia" w:ascii="Times New Roman" w:hAnsi="Times New Roman"/>
          <w:lang w:val="en-US"/>
        </w:rPr>
        <w:t xml:space="preserve"> </w:t>
      </w:r>
      <w:r>
        <w:rPr>
          <w:rFonts w:ascii="Times New Roman" w:hAnsi="Times New Roman"/>
          <w:sz w:val="28"/>
          <w:szCs w:val="28"/>
          <w:lang w:val="en-US"/>
        </w:rPr>
        <w:t>Multiple measurement instances in a report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after="0" w:line="240" w:lineRule="auto"/>
              <w:ind w:left="1440" w:hanging="1440"/>
              <w:jc w:val="both"/>
              <w:rPr>
                <w:rFonts w:ascii="Times New Roman" w:hAnsi="Times New Roman"/>
                <w:b/>
                <w:sz w:val="20"/>
                <w:szCs w:val="20"/>
              </w:rPr>
            </w:pPr>
            <w:r>
              <w:rPr>
                <w:rFonts w:ascii="Times New Roman" w:hAnsi="Times New Roman"/>
                <w:b/>
                <w:sz w:val="20"/>
                <w:szCs w:val="20"/>
              </w:rPr>
              <w:t>Agreement:</w:t>
            </w:r>
          </w:p>
          <w:p>
            <w:pPr>
              <w:pStyle w:val="88"/>
              <w:adjustRightInd w:val="0"/>
              <w:snapToGrid w:val="0"/>
              <w:spacing w:after="0" w:line="240" w:lineRule="auto"/>
              <w:ind w:left="0"/>
              <w:contextualSpacing w:val="0"/>
              <w:jc w:val="both"/>
              <w:rPr>
                <w:rFonts w:ascii="Times New Roman" w:hAnsi="Times New Roman" w:eastAsia="宋体"/>
                <w:sz w:val="20"/>
                <w:szCs w:val="20"/>
              </w:rPr>
            </w:pPr>
            <w:r>
              <w:rPr>
                <w:rFonts w:ascii="Times New Roman" w:hAnsi="Times New Roman" w:eastAsia="宋体"/>
                <w:sz w:val="20"/>
                <w:szCs w:val="20"/>
              </w:rPr>
              <w:t>Support enabling</w:t>
            </w:r>
          </w:p>
          <w:p>
            <w:pPr>
              <w:pStyle w:val="88"/>
              <w:numPr>
                <w:ilvl w:val="0"/>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 xml:space="preserve">A UE to report one or more measurement instances (of RSTD, DL RSRP, and/or UE Rx-Tx time difference measurements) in a single measurement report to LMF for UE-assisted positioning, and </w:t>
            </w:r>
          </w:p>
          <w:p>
            <w:pPr>
              <w:pStyle w:val="88"/>
              <w:numPr>
                <w:ilvl w:val="0"/>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A TRP to report one or more measurement instances (of RTOA, UL RSRP, and/or gNB Rx-Tx time difference measurements) in a single measurement report to LMF, and</w:t>
            </w:r>
          </w:p>
          <w:p>
            <w:pPr>
              <w:pStyle w:val="88"/>
              <w:numPr>
                <w:ilvl w:val="0"/>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Each measurement instance is reported with its own timestamp</w:t>
            </w:r>
          </w:p>
          <w:p>
            <w:pPr>
              <w:pStyle w:val="88"/>
              <w:numPr>
                <w:ilvl w:val="1"/>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The measurement instances are within a [configured] measurement time window</w:t>
            </w:r>
          </w:p>
          <w:p>
            <w:pPr>
              <w:pStyle w:val="88"/>
              <w:numPr>
                <w:ilvl w:val="0"/>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UE measurement instance can be configured with N instances of the DL-PRS Resource Set</w:t>
            </w:r>
          </w:p>
          <w:p>
            <w:pPr>
              <w:pStyle w:val="88"/>
              <w:numPr>
                <w:ilvl w:val="1"/>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N (including N=1)</w:t>
            </w:r>
          </w:p>
          <w:p>
            <w:pPr>
              <w:pStyle w:val="88"/>
              <w:numPr>
                <w:ilvl w:val="0"/>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TRP measurement instance can be configured with M SRS measurement time occasions</w:t>
            </w:r>
          </w:p>
          <w:p>
            <w:pPr>
              <w:pStyle w:val="88"/>
              <w:numPr>
                <w:ilvl w:val="1"/>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M (including M=1)</w:t>
            </w:r>
          </w:p>
          <w:p>
            <w:pPr>
              <w:pStyle w:val="88"/>
              <w:numPr>
                <w:ilvl w:val="0"/>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details of signalling, procedures, and UE capability if any</w:t>
            </w:r>
          </w:p>
          <w:p>
            <w:pPr>
              <w:pStyle w:val="88"/>
              <w:numPr>
                <w:ilvl w:val="0"/>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whether and how to consider the additional enhancement related to measurement reporting of multi-paths and quality metric</w:t>
            </w:r>
          </w:p>
          <w:p>
            <w:pPr>
              <w:pStyle w:val="88"/>
              <w:numPr>
                <w:ilvl w:val="0"/>
                <w:numId w:val="3"/>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Note 1: A measurement instance refers to one or more measurements, which can either be the same or different types, which are obtained from the same DL PRS resource(s), or the same UL SRS resource(s).</w:t>
            </w:r>
          </w:p>
          <w:p>
            <w:pPr>
              <w:pStyle w:val="88"/>
              <w:numPr>
                <w:ilvl w:val="0"/>
                <w:numId w:val="3"/>
              </w:numPr>
              <w:adjustRightInd w:val="0"/>
              <w:snapToGrid w:val="0"/>
              <w:spacing w:after="0" w:line="240" w:lineRule="auto"/>
              <w:contextualSpacing w:val="0"/>
              <w:jc w:val="both"/>
              <w:rPr>
                <w:rFonts w:ascii="Times New Roman" w:hAnsi="Times New Roman" w:eastAsia="MS Mincho"/>
                <w:i/>
                <w:iCs/>
                <w:sz w:val="20"/>
                <w:szCs w:val="20"/>
              </w:rPr>
            </w:pPr>
            <w:r>
              <w:rPr>
                <w:rFonts w:ascii="Times New Roman" w:hAnsi="Times New Roman" w:eastAsia="宋体"/>
                <w:sz w:val="20"/>
                <w:szCs w:val="20"/>
              </w:rPr>
              <w:t>Note 2: This enhancement has no intention to change the mapping of measurement types to Rel-16 positioning techniques and no intention to introduce new positioning techniques either.</w:t>
            </w:r>
          </w:p>
        </w:tc>
      </w:tr>
    </w:tbl>
    <w:p>
      <w:pPr>
        <w:pageBreakBefore w:val="0"/>
        <w:kinsoku/>
        <w:wordWrap/>
        <w:overflowPunct/>
        <w:topLinePunct w:val="0"/>
        <w:bidi w:val="0"/>
        <w:snapToGrid w:val="0"/>
        <w:spacing w:before="181" w:beforeLines="50" w:after="181" w:afterLines="50" w:line="240" w:lineRule="auto"/>
        <w:jc w:val="both"/>
        <w:textAlignment w:val="auto"/>
        <w:rPr>
          <w:rFonts w:hint="default" w:ascii="Times New Roman" w:hAnsi="Times New Roman" w:eastAsiaTheme="minorEastAsia"/>
          <w:sz w:val="20"/>
          <w:szCs w:val="20"/>
          <w:lang w:val="en-US" w:eastAsia="zh-CN"/>
        </w:rPr>
      </w:pPr>
      <w:r>
        <w:rPr>
          <w:rFonts w:ascii="Times New Roman" w:hAnsi="Times New Roman"/>
          <w:sz w:val="20"/>
          <w:szCs w:val="20"/>
        </w:rPr>
        <w:t xml:space="preserve">For a periodic measurement report based on periodic DL PRS, there may be multiple instances of DL PRS to be measured between two consecutive occasions of the measurement report. For a measurement value reported based on the current design, the measurement value may be an average value from several measurement results based on the same DL PRS in different instances and/or different RS. As such, in the current design, the average operation is up to the UE’s implementation, and the LMF is missing a large amount of information regarding the time occasions and measurement results. In addition, even for the same DL PRS in different instances, the measurement results could be quite different due to the timing error variation of the device, blockage, movement of the UE, or other impairments. Therefore, the </w:t>
      </w:r>
      <w:r>
        <w:rPr>
          <w:rFonts w:hint="eastAsia" w:ascii="Times New Roman" w:hAnsi="Times New Roman"/>
          <w:sz w:val="20"/>
          <w:szCs w:val="20"/>
          <w:lang w:val="en-US" w:eastAsia="zh-CN"/>
        </w:rPr>
        <w:t xml:space="preserve">above </w:t>
      </w:r>
      <w:r>
        <w:rPr>
          <w:rFonts w:ascii="Times New Roman" w:hAnsi="Times New Roman"/>
          <w:sz w:val="20"/>
          <w:szCs w:val="20"/>
        </w:rPr>
        <w:t xml:space="preserve">agreement was approved in </w:t>
      </w:r>
      <w:r>
        <w:rPr>
          <w:rFonts w:hint="eastAsia" w:ascii="Times New Roman" w:hAnsi="Times New Roman"/>
          <w:sz w:val="20"/>
          <w:szCs w:val="20"/>
        </w:rPr>
        <w:t>RAN1#104-e</w:t>
      </w:r>
      <w:r>
        <w:rPr>
          <w:rFonts w:ascii="Times New Roman" w:hAnsi="Times New Roman"/>
          <w:sz w:val="20"/>
          <w:szCs w:val="20"/>
        </w:rPr>
        <w:t xml:space="preserve"> meeting so that UE/gNB can provide a positioning measurement report with multiple measurement instances to track aforementioned impairments.</w:t>
      </w:r>
      <w:r>
        <w:rPr>
          <w:rFonts w:hint="eastAsia" w:ascii="Times New Roman" w:hAnsi="Times New Roman"/>
          <w:sz w:val="20"/>
          <w:szCs w:val="20"/>
          <w:lang w:val="en-US" w:eastAsia="zh-CN"/>
        </w:rPr>
        <w:t xml:space="preserve"> The intention of defining measurement instance is to ensure the static timing error of the measurement results in a measurement instance. Meanwhile, different measurement instances may have different timing errors. So, i</w:t>
      </w:r>
      <w:r>
        <w:rPr>
          <w:rFonts w:hint="eastAsia" w:ascii="Times New Roman" w:hAnsi="Times New Roman"/>
          <w:i w:val="0"/>
          <w:iCs w:val="0"/>
          <w:sz w:val="20"/>
          <w:szCs w:val="20"/>
          <w:lang w:val="en-US" w:eastAsia="zh-CN"/>
        </w:rPr>
        <w:t>t</w:t>
      </w:r>
      <w:r>
        <w:rPr>
          <w:rFonts w:hint="default" w:ascii="Times New Roman" w:hAnsi="Times New Roman"/>
          <w:i w:val="0"/>
          <w:iCs w:val="0"/>
          <w:sz w:val="20"/>
          <w:szCs w:val="20"/>
          <w:lang w:val="en-US" w:eastAsia="zh-CN"/>
        </w:rPr>
        <w:t>’</w:t>
      </w:r>
      <w:r>
        <w:rPr>
          <w:rFonts w:hint="eastAsia" w:ascii="Times New Roman" w:hAnsi="Times New Roman"/>
          <w:i w:val="0"/>
          <w:iCs w:val="0"/>
          <w:sz w:val="20"/>
          <w:szCs w:val="20"/>
          <w:lang w:val="en-US" w:eastAsia="zh-CN"/>
        </w:rPr>
        <w:t xml:space="preserve">s enough to determine a TEG based on the dimension of </w:t>
      </w:r>
      <w:r>
        <w:rPr>
          <w:rFonts w:hint="eastAsia" w:ascii="Times New Roman" w:hAnsi="Times New Roman"/>
          <w:i w:val="0"/>
          <w:iCs w:val="0"/>
          <w:sz w:val="20"/>
          <w:szCs w:val="20"/>
        </w:rPr>
        <w:t>spatial (panel/RF chain/antenna)</w:t>
      </w:r>
      <w:r>
        <w:rPr>
          <w:rFonts w:hint="eastAsia" w:ascii="Times New Roman" w:hAnsi="Times New Roman"/>
          <w:i w:val="0"/>
          <w:iCs w:val="0"/>
          <w:sz w:val="20"/>
          <w:szCs w:val="20"/>
          <w:lang w:val="en-US" w:eastAsia="zh-CN"/>
        </w:rPr>
        <w:t xml:space="preserve"> and frequency, since timing error shift over time can already be reflected in different measurement instances.</w:t>
      </w:r>
    </w:p>
    <w:p>
      <w:pPr>
        <w:pageBreakBefore w:val="0"/>
        <w:kinsoku/>
        <w:wordWrap/>
        <w:overflowPunct/>
        <w:topLinePunct w:val="0"/>
        <w:bidi w:val="0"/>
        <w:snapToGrid w:val="0"/>
        <w:spacing w:before="181" w:beforeLines="50" w:after="181" w:afterLines="50" w:line="240" w:lineRule="auto"/>
        <w:jc w:val="both"/>
        <w:textAlignment w:val="auto"/>
        <w:rPr>
          <w:rFonts w:hint="default" w:ascii="Times New Roman" w:hAnsi="Times New Roman" w:eastAsiaTheme="minorEastAsia"/>
          <w:i/>
          <w:iCs/>
          <w:sz w:val="20"/>
          <w:szCs w:val="20"/>
          <w:lang w:val="en-US" w:eastAsia="zh-CN"/>
        </w:rPr>
      </w:pPr>
      <w:r>
        <w:rPr>
          <w:rFonts w:hint="eastAsia" w:ascii="Times New Roman" w:hAnsi="Times New Roman"/>
          <w:b/>
          <w:bCs/>
          <w:i/>
          <w:iCs/>
          <w:sz w:val="20"/>
          <w:szCs w:val="20"/>
          <w:lang w:val="en-US" w:eastAsia="zh-CN"/>
        </w:rPr>
        <w:t>Observation 1:</w:t>
      </w:r>
      <w:r>
        <w:rPr>
          <w:rFonts w:hint="eastAsia" w:ascii="Times New Roman" w:hAnsi="Times New Roman"/>
          <w:i/>
          <w:iCs/>
          <w:sz w:val="20"/>
          <w:szCs w:val="20"/>
          <w:lang w:val="en-US" w:eastAsia="zh-CN"/>
        </w:rPr>
        <w:t xml:space="preserve"> It</w:t>
      </w:r>
      <w:r>
        <w:rPr>
          <w:rFonts w:hint="default" w:ascii="Times New Roman" w:hAnsi="Times New Roman"/>
          <w:i/>
          <w:iCs/>
          <w:sz w:val="20"/>
          <w:szCs w:val="20"/>
          <w:lang w:val="en-US" w:eastAsia="zh-CN"/>
        </w:rPr>
        <w:t>’</w:t>
      </w:r>
      <w:r>
        <w:rPr>
          <w:rFonts w:hint="eastAsia" w:ascii="Times New Roman" w:hAnsi="Times New Roman"/>
          <w:i/>
          <w:iCs/>
          <w:sz w:val="20"/>
          <w:szCs w:val="20"/>
          <w:lang w:val="en-US" w:eastAsia="zh-CN"/>
        </w:rPr>
        <w:t xml:space="preserve">s enough to determine a TEG based on the dimension of </w:t>
      </w:r>
      <w:r>
        <w:rPr>
          <w:rFonts w:hint="eastAsia" w:ascii="Times New Roman" w:hAnsi="Times New Roman"/>
          <w:i/>
          <w:iCs/>
          <w:sz w:val="20"/>
          <w:szCs w:val="20"/>
        </w:rPr>
        <w:t>spatial (panel/RF chain/antenna)</w:t>
      </w:r>
      <w:r>
        <w:rPr>
          <w:rFonts w:hint="eastAsia" w:ascii="Times New Roman" w:hAnsi="Times New Roman"/>
          <w:i/>
          <w:iCs/>
          <w:sz w:val="20"/>
          <w:szCs w:val="20"/>
          <w:lang w:val="en-US" w:eastAsia="zh-CN"/>
        </w:rPr>
        <w:t xml:space="preserve"> and frequency, since timing error shift over time can already be reflected in different measurement instances.</w:t>
      </w:r>
    </w:p>
    <w:p>
      <w:pPr>
        <w:pageBreakBefore w:val="0"/>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Based on the agreement above, at least the following remaining details need to be discussed in this meeting ( take UE side as an example, it can be also used for gNB/TRP side when applicable),</w:t>
      </w:r>
    </w:p>
    <w:p>
      <w:pPr>
        <w:pageBreakBefore w:val="0"/>
        <w:numPr>
          <w:ilvl w:val="0"/>
          <w:numId w:val="6"/>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 xml:space="preserve">The </w:t>
      </w:r>
      <w:r>
        <w:rPr>
          <w:rFonts w:hint="eastAsia" w:ascii="Times New Roman" w:hAnsi="Times New Roman"/>
          <w:sz w:val="20"/>
          <w:szCs w:val="20"/>
          <w:lang w:val="en-US" w:eastAsia="zh-CN"/>
        </w:rPr>
        <w:t>configuration level</w:t>
      </w:r>
      <w:r>
        <w:rPr>
          <w:rFonts w:ascii="Times New Roman" w:hAnsi="Times New Roman"/>
          <w:sz w:val="20"/>
          <w:szCs w:val="20"/>
        </w:rPr>
        <w:t xml:space="preserve"> of N (i.e. the number of instances of DL PRS resource set in a UE measurement instance)</w:t>
      </w:r>
    </w:p>
    <w:p>
      <w:pPr>
        <w:pageBreakBefore w:val="0"/>
        <w:numPr>
          <w:ilvl w:val="0"/>
          <w:numId w:val="6"/>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The association between measurement instances and UE measurement report</w:t>
      </w:r>
    </w:p>
    <w:p>
      <w:pPr>
        <w:pageBreakBefore w:val="0"/>
        <w:numPr>
          <w:ilvl w:val="0"/>
          <w:numId w:val="6"/>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rPr>
        <w:t>Measurement window and t</w:t>
      </w:r>
      <w:r>
        <w:rPr>
          <w:rFonts w:ascii="Times New Roman" w:hAnsi="Times New Roman"/>
          <w:sz w:val="20"/>
          <w:szCs w:val="20"/>
        </w:rPr>
        <w:t>ime stamp for UE measurement instances</w:t>
      </w:r>
    </w:p>
    <w:p>
      <w:pPr>
        <w:pStyle w:val="3"/>
        <w:pageBreakBefore w:val="0"/>
        <w:kinsoku/>
        <w:wordWrap/>
        <w:overflowPunct/>
        <w:topLinePunct w:val="0"/>
        <w:bidi w:val="0"/>
        <w:snapToGrid w:val="0"/>
        <w:spacing w:before="181" w:beforeLines="50" w:after="181" w:afterLines="50" w:line="240" w:lineRule="auto"/>
        <w:textAlignment w:val="auto"/>
        <w:rPr>
          <w:rFonts w:ascii="Times New Roman" w:hAnsi="Times New Roman"/>
          <w:sz w:val="24"/>
          <w:szCs w:val="24"/>
          <w:lang w:val="en-US"/>
        </w:rPr>
      </w:pPr>
      <w:r>
        <w:rPr>
          <w:rFonts w:hint="eastAsia" w:ascii="Times New Roman" w:hAnsi="Times New Roman"/>
          <w:sz w:val="24"/>
          <w:szCs w:val="24"/>
          <w:lang w:val="en-US"/>
        </w:rPr>
        <w:t>C</w:t>
      </w:r>
      <w:r>
        <w:rPr>
          <w:rFonts w:ascii="Times New Roman" w:hAnsi="Times New Roman"/>
          <w:sz w:val="24"/>
          <w:szCs w:val="24"/>
          <w:lang w:val="en-US"/>
        </w:rPr>
        <w:t xml:space="preserve">onfiguration </w:t>
      </w:r>
      <w:r>
        <w:rPr>
          <w:rFonts w:hint="eastAsia" w:ascii="Times New Roman" w:hAnsi="Times New Roman"/>
          <w:sz w:val="24"/>
          <w:szCs w:val="24"/>
          <w:lang w:val="en-US"/>
        </w:rPr>
        <w:t xml:space="preserve">level </w:t>
      </w:r>
      <w:r>
        <w:rPr>
          <w:rFonts w:ascii="Times New Roman" w:hAnsi="Times New Roman"/>
          <w:sz w:val="24"/>
          <w:szCs w:val="24"/>
          <w:lang w:val="en-US"/>
        </w:rPr>
        <w:t>of N</w:t>
      </w:r>
    </w:p>
    <w:p>
      <w:pPr>
        <w:pageBreakBefore w:val="0"/>
        <w:numPr>
          <w:ilvl w:val="255"/>
          <w:numId w:val="0"/>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 xml:space="preserve">As we know, the periodicity of DL PRS is configured per </w:t>
      </w:r>
      <w:bookmarkStart w:id="6" w:name="OLE_LINK2"/>
      <w:r>
        <w:rPr>
          <w:rFonts w:ascii="Times New Roman" w:hAnsi="Times New Roman"/>
          <w:sz w:val="20"/>
          <w:szCs w:val="20"/>
        </w:rPr>
        <w:t>DL PRS resource set</w:t>
      </w:r>
      <w:bookmarkEnd w:id="6"/>
      <w:r>
        <w:rPr>
          <w:rFonts w:ascii="Times New Roman" w:hAnsi="Times New Roman"/>
          <w:sz w:val="20"/>
          <w:szCs w:val="20"/>
        </w:rPr>
        <w:t xml:space="preserve">. What’s more, the assistance data provided by LMF may include different periodicities of DL PRS resource sets. Thus, the number of DL PRS resource set instances between two consecutive occasions of a measurement report may also be different for different DL PRS resource sets. Therefore, there could be multiple </w:t>
      </w:r>
      <w:r>
        <w:rPr>
          <w:rFonts w:hint="eastAsia" w:ascii="Times New Roman" w:hAnsi="Times New Roman"/>
          <w:sz w:val="20"/>
          <w:szCs w:val="20"/>
        </w:rPr>
        <w:t>alternative</w:t>
      </w:r>
      <w:r>
        <w:rPr>
          <w:rFonts w:ascii="Times New Roman" w:hAnsi="Times New Roman"/>
          <w:sz w:val="20"/>
          <w:szCs w:val="20"/>
        </w:rPr>
        <w:t>s to configure the value of N depending on configuration level,</w:t>
      </w:r>
    </w:p>
    <w:p>
      <w:pPr>
        <w:numPr>
          <w:ilvl w:val="0"/>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Alt</w:t>
      </w:r>
      <w:r>
        <w:rPr>
          <w:rFonts w:ascii="Times New Roman" w:hAnsi="Times New Roman"/>
          <w:sz w:val="20"/>
          <w:szCs w:val="20"/>
        </w:rPr>
        <w:t xml:space="preserve"> 1: configured by LMF per DL PRS resource set. The value may depend on the periodicity of corresponding DL PRS resource set</w:t>
      </w:r>
    </w:p>
    <w:p>
      <w:pPr>
        <w:numPr>
          <w:ilvl w:val="0"/>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Alt</w:t>
      </w:r>
      <w:r>
        <w:rPr>
          <w:rFonts w:ascii="Times New Roman" w:hAnsi="Times New Roman"/>
          <w:sz w:val="20"/>
          <w:szCs w:val="20"/>
        </w:rPr>
        <w:t xml:space="preserve"> 2: configured by LMF per TRP. The value may depend on the periodicities of DL PRS resource sets associated with corresponding TRP.</w:t>
      </w:r>
    </w:p>
    <w:p>
      <w:pPr>
        <w:pageBreakBefore w:val="0"/>
        <w:numPr>
          <w:ilvl w:val="0"/>
          <w:numId w:val="7"/>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rPr>
        <w:t>Alt</w:t>
      </w:r>
      <w:r>
        <w:rPr>
          <w:rFonts w:ascii="Times New Roman" w:hAnsi="Times New Roman"/>
          <w:sz w:val="20"/>
          <w:szCs w:val="20"/>
        </w:rPr>
        <w:t xml:space="preserve"> 3: configured by LMF per positioning frequency layer. The value may depend on the periodicities of DL PRS resource sets associated with corresponding positioning frequency layer.</w:t>
      </w:r>
    </w:p>
    <w:p>
      <w:pPr>
        <w:pageBreakBefore w:val="0"/>
        <w:numPr>
          <w:ilvl w:val="0"/>
          <w:numId w:val="7"/>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rPr>
        <w:t>Alt</w:t>
      </w:r>
      <w:r>
        <w:rPr>
          <w:rFonts w:ascii="Times New Roman" w:hAnsi="Times New Roman"/>
          <w:sz w:val="20"/>
          <w:szCs w:val="20"/>
        </w:rPr>
        <w:t xml:space="preserve"> 4: configured by LMF per measurement report. The value may depend on the periodicities of DL PRS resource sets provided by LMF via assistance data.</w:t>
      </w:r>
    </w:p>
    <w:p>
      <w:pPr>
        <w:pageBreakBefore w:val="0"/>
        <w:numPr>
          <w:ilvl w:val="255"/>
          <w:numId w:val="0"/>
        </w:numPr>
        <w:kinsoku/>
        <w:wordWrap/>
        <w:overflowPunct/>
        <w:topLinePunct w:val="0"/>
        <w:bidi w:val="0"/>
        <w:snapToGrid w:val="0"/>
        <w:spacing w:before="181" w:beforeLines="50" w:after="181" w:afterLines="50" w:line="240" w:lineRule="auto"/>
        <w:jc w:val="both"/>
        <w:textAlignment w:val="auto"/>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4</w:t>
      </w:r>
      <w:r>
        <w:rPr>
          <w:rFonts w:ascii="Times New Roman" w:hAnsi="Times New Roman"/>
          <w:i/>
          <w:iCs/>
          <w:sz w:val="20"/>
          <w:szCs w:val="20"/>
        </w:rPr>
        <w:t xml:space="preserve">: Further discuss how to configure the number of instances of DL PRS resource set in a UE measurement instance (i.e. the value N), at least consider one of the following </w:t>
      </w:r>
      <w:r>
        <w:rPr>
          <w:rFonts w:hint="eastAsia" w:ascii="Times New Roman" w:hAnsi="Times New Roman"/>
          <w:i/>
          <w:iCs/>
          <w:sz w:val="20"/>
          <w:szCs w:val="20"/>
        </w:rPr>
        <w:t>alternative</w:t>
      </w:r>
      <w:r>
        <w:rPr>
          <w:rFonts w:ascii="Times New Roman" w:hAnsi="Times New Roman"/>
          <w:i/>
          <w:iCs/>
          <w:sz w:val="20"/>
          <w:szCs w:val="20"/>
        </w:rPr>
        <w:t>s,</w:t>
      </w:r>
    </w:p>
    <w:p>
      <w:pPr>
        <w:pageBreakBefore w:val="0"/>
        <w:numPr>
          <w:ilvl w:val="0"/>
          <w:numId w:val="8"/>
        </w:numPr>
        <w:kinsoku/>
        <w:wordWrap/>
        <w:overflowPunct/>
        <w:topLinePunct w:val="0"/>
        <w:bidi w:val="0"/>
        <w:snapToGrid w:val="0"/>
        <w:spacing w:before="181" w:beforeLines="50" w:after="181" w:afterLines="50" w:line="240" w:lineRule="auto"/>
        <w:jc w:val="both"/>
        <w:textAlignment w:val="auto"/>
        <w:rPr>
          <w:rFonts w:ascii="Times New Roman" w:hAnsi="Times New Roman"/>
          <w:i/>
          <w:iCs/>
          <w:sz w:val="20"/>
          <w:szCs w:val="20"/>
        </w:rPr>
      </w:pPr>
      <w:r>
        <w:rPr>
          <w:rFonts w:hint="eastAsia" w:ascii="Times New Roman" w:hAnsi="Times New Roman"/>
          <w:i/>
          <w:iCs/>
          <w:sz w:val="20"/>
          <w:szCs w:val="20"/>
        </w:rPr>
        <w:t>Alt.</w:t>
      </w:r>
      <w:r>
        <w:rPr>
          <w:rFonts w:ascii="Times New Roman" w:hAnsi="Times New Roman"/>
          <w:i/>
          <w:iCs/>
          <w:sz w:val="20"/>
          <w:szCs w:val="20"/>
        </w:rPr>
        <w:t xml:space="preserve">1: configured by LMF per DL PRS resource set. </w:t>
      </w:r>
    </w:p>
    <w:p>
      <w:pPr>
        <w:pageBreakBefore w:val="0"/>
        <w:numPr>
          <w:ilvl w:val="0"/>
          <w:numId w:val="8"/>
        </w:numPr>
        <w:kinsoku/>
        <w:wordWrap/>
        <w:overflowPunct/>
        <w:topLinePunct w:val="0"/>
        <w:bidi w:val="0"/>
        <w:snapToGrid w:val="0"/>
        <w:spacing w:before="181" w:beforeLines="50" w:after="181" w:afterLines="50" w:line="240" w:lineRule="auto"/>
        <w:jc w:val="both"/>
        <w:textAlignment w:val="auto"/>
        <w:rPr>
          <w:rFonts w:ascii="Times New Roman" w:hAnsi="Times New Roman"/>
          <w:i/>
          <w:iCs/>
          <w:sz w:val="20"/>
          <w:szCs w:val="20"/>
        </w:rPr>
      </w:pPr>
      <w:r>
        <w:rPr>
          <w:rFonts w:hint="eastAsia" w:ascii="Times New Roman" w:hAnsi="Times New Roman"/>
          <w:i/>
          <w:iCs/>
          <w:sz w:val="20"/>
          <w:szCs w:val="20"/>
        </w:rPr>
        <w:t>Alt.</w:t>
      </w:r>
      <w:r>
        <w:rPr>
          <w:rFonts w:ascii="Times New Roman" w:hAnsi="Times New Roman"/>
          <w:i/>
          <w:iCs/>
          <w:sz w:val="20"/>
          <w:szCs w:val="20"/>
        </w:rPr>
        <w:t>2: configured by LMF per TRP.</w:t>
      </w:r>
    </w:p>
    <w:p>
      <w:pPr>
        <w:pageBreakBefore w:val="0"/>
        <w:numPr>
          <w:ilvl w:val="0"/>
          <w:numId w:val="8"/>
        </w:numPr>
        <w:kinsoku/>
        <w:wordWrap/>
        <w:overflowPunct/>
        <w:topLinePunct w:val="0"/>
        <w:bidi w:val="0"/>
        <w:snapToGrid w:val="0"/>
        <w:spacing w:before="181" w:beforeLines="50" w:after="181" w:afterLines="50" w:line="240" w:lineRule="auto"/>
        <w:jc w:val="both"/>
        <w:textAlignment w:val="auto"/>
        <w:rPr>
          <w:rFonts w:ascii="Times New Roman" w:hAnsi="Times New Roman"/>
          <w:i/>
          <w:iCs/>
          <w:sz w:val="20"/>
          <w:szCs w:val="20"/>
        </w:rPr>
      </w:pPr>
      <w:r>
        <w:rPr>
          <w:rFonts w:hint="eastAsia" w:ascii="Times New Roman" w:hAnsi="Times New Roman"/>
          <w:i/>
          <w:iCs/>
          <w:sz w:val="20"/>
          <w:szCs w:val="20"/>
        </w:rPr>
        <w:t>Alt.</w:t>
      </w:r>
      <w:r>
        <w:rPr>
          <w:rFonts w:ascii="Times New Roman" w:hAnsi="Times New Roman"/>
          <w:i/>
          <w:iCs/>
          <w:sz w:val="20"/>
          <w:szCs w:val="20"/>
        </w:rPr>
        <w:t>3: configured by LMF per positioning frequency layer.</w:t>
      </w:r>
    </w:p>
    <w:p>
      <w:pPr>
        <w:pageBreakBefore w:val="0"/>
        <w:numPr>
          <w:ilvl w:val="0"/>
          <w:numId w:val="8"/>
        </w:numPr>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i/>
          <w:iCs/>
          <w:sz w:val="20"/>
          <w:szCs w:val="20"/>
        </w:rPr>
        <w:t>Alt.</w:t>
      </w:r>
      <w:r>
        <w:rPr>
          <w:rFonts w:ascii="Times New Roman" w:hAnsi="Times New Roman"/>
          <w:i/>
          <w:iCs/>
          <w:sz w:val="20"/>
          <w:szCs w:val="20"/>
        </w:rPr>
        <w:t xml:space="preserve">4: configured by LMF per measurement report. </w:t>
      </w:r>
    </w:p>
    <w:p>
      <w:pPr>
        <w:pStyle w:val="3"/>
        <w:pageBreakBefore w:val="0"/>
        <w:kinsoku/>
        <w:wordWrap/>
        <w:overflowPunct/>
        <w:topLinePunct w:val="0"/>
        <w:bidi w:val="0"/>
        <w:snapToGrid w:val="0"/>
        <w:spacing w:before="181" w:beforeLines="50" w:after="181" w:afterLines="50" w:line="240" w:lineRule="auto"/>
        <w:textAlignment w:val="auto"/>
        <w:rPr>
          <w:rFonts w:ascii="Times New Roman" w:hAnsi="Times New Roman"/>
          <w:sz w:val="24"/>
          <w:szCs w:val="24"/>
          <w:lang w:val="en-US"/>
        </w:rPr>
      </w:pPr>
      <w:r>
        <w:rPr>
          <w:rFonts w:hint="eastAsia" w:ascii="Times New Roman" w:hAnsi="Times New Roman"/>
          <w:sz w:val="24"/>
          <w:szCs w:val="24"/>
          <w:lang w:val="en-US"/>
        </w:rPr>
        <w:t>A</w:t>
      </w:r>
      <w:r>
        <w:rPr>
          <w:rFonts w:ascii="Times New Roman" w:hAnsi="Times New Roman"/>
          <w:sz w:val="24"/>
          <w:szCs w:val="24"/>
          <w:lang w:val="en-US"/>
        </w:rPr>
        <w:t>ssociation between measurement instances and UE measurement report</w:t>
      </w:r>
    </w:p>
    <w:p>
      <w:pPr>
        <w:pageBreakBefore w:val="0"/>
        <w:kinsoku/>
        <w:wordWrap/>
        <w:overflowPunct/>
        <w:topLinePunct w:val="0"/>
        <w:bidi w:val="0"/>
        <w:snapToGrid w:val="0"/>
        <w:spacing w:before="181" w:beforeLines="50" w:after="181" w:afterLines="50" w:line="240" w:lineRule="auto"/>
        <w:jc w:val="both"/>
        <w:textAlignment w:val="auto"/>
        <w:rPr>
          <w:rFonts w:ascii="Times New Roman" w:hAnsi="Times New Roman"/>
          <w:color w:val="000000"/>
          <w:sz w:val="21"/>
        </w:rPr>
      </w:pPr>
      <w:r>
        <w:rPr>
          <w:rFonts w:ascii="Times New Roman" w:hAnsi="Times New Roman"/>
          <w:sz w:val="20"/>
          <w:szCs w:val="20"/>
        </w:rPr>
        <w:t xml:space="preserve">Figure </w:t>
      </w:r>
      <w:r>
        <w:rPr>
          <w:rFonts w:hint="eastAsia" w:ascii="Times New Roman" w:hAnsi="Times New Roman"/>
          <w:sz w:val="20"/>
          <w:szCs w:val="20"/>
        </w:rPr>
        <w:t>1</w:t>
      </w:r>
      <w:r>
        <w:rPr>
          <w:rFonts w:ascii="Times New Roman" w:hAnsi="Times New Roman"/>
          <w:sz w:val="20"/>
          <w:szCs w:val="20"/>
        </w:rPr>
        <w:t xml:space="preserve"> shows a skeleton example of Rel-16 UE reporting structure: a measurement report includes several positioning methods; each positioning method includes several measurement elements;</w:t>
      </w:r>
      <w:r>
        <w:rPr>
          <w:rFonts w:hint="eastAsia" w:ascii="Times New Roman" w:hAnsi="Times New Roman"/>
          <w:sz w:val="20"/>
          <w:szCs w:val="20"/>
        </w:rPr>
        <w:t xml:space="preserve"> </w:t>
      </w:r>
      <w:r>
        <w:rPr>
          <w:rFonts w:ascii="Times New Roman" w:hAnsi="Times New Roman"/>
          <w:sz w:val="20"/>
          <w:szCs w:val="20"/>
        </w:rPr>
        <w:t xml:space="preserve">each measurement element includes measurement results from a certain TRP. </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799205" cy="2051685"/>
            <wp:effectExtent l="0" t="0" r="10795" b="5715"/>
            <wp:docPr id="5" name="图片 5" descr="R16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16 report configure"/>
                    <pic:cNvPicPr>
                      <a:picLocks noChangeAspect="1"/>
                    </pic:cNvPicPr>
                  </pic:nvPicPr>
                  <pic:blipFill>
                    <a:blip r:embed="rId5"/>
                    <a:stretch>
                      <a:fillRect/>
                    </a:stretch>
                  </pic:blipFill>
                  <pic:spPr>
                    <a:xfrm>
                      <a:off x="0" y="0"/>
                      <a:ext cx="3799205" cy="205168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1</w:t>
      </w:r>
      <w:r>
        <w:rPr>
          <w:rFonts w:ascii="Times New Roman" w:hAnsi="Times New Roman"/>
          <w:sz w:val="20"/>
          <w:szCs w:val="20"/>
        </w:rPr>
        <w:t>. Rel-16 UE reporting structure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Based on current design, how to support the association between measurement instances and UE measurement report need</w:t>
      </w:r>
      <w:r>
        <w:rPr>
          <w:rFonts w:hint="eastAsia" w:ascii="Times New Roman" w:hAnsi="Times New Roman"/>
          <w:sz w:val="20"/>
          <w:szCs w:val="20"/>
        </w:rPr>
        <w:t>s</w:t>
      </w:r>
      <w:r>
        <w:rPr>
          <w:rFonts w:ascii="Times New Roman" w:hAnsi="Times New Roman"/>
          <w:sz w:val="20"/>
          <w:szCs w:val="20"/>
        </w:rPr>
        <w:t xml:space="preserve"> to be further discussed. In general, there could be multiple options to </w:t>
      </w:r>
      <w:r>
        <w:rPr>
          <w:rFonts w:hint="eastAsia" w:ascii="Times New Roman" w:hAnsi="Times New Roman"/>
          <w:sz w:val="20"/>
          <w:szCs w:val="20"/>
        </w:rPr>
        <w:t>associate multiple measurement instances in a measurement report,</w:t>
      </w:r>
    </w:p>
    <w:p>
      <w:pPr>
        <w:numPr>
          <w:ilvl w:val="0"/>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Option 1: For each indicated DL PRS resource in a measurement report, multiple measurement instances are associated with the indicated DL PRS resource.</w:t>
      </w:r>
    </w:p>
    <w:p>
      <w:pPr>
        <w:numPr>
          <w:ilvl w:val="0"/>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Option 2: For each indicated DL PRS resource set in a measurement report, multiple measurement instances are associated with the indicated DL PRS resource set.</w:t>
      </w:r>
    </w:p>
    <w:p>
      <w:pPr>
        <w:numPr>
          <w:ilvl w:val="0"/>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Option 3: For each indicated measurement element (i.e. TRP) in a measurement report, multiple measurement instances are associated with the indicated measurement element. </w:t>
      </w:r>
    </w:p>
    <w:p>
      <w:pPr>
        <w:numPr>
          <w:ilvl w:val="0"/>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Option 4: For each indicated positioning method in a measurement report, multiple measurement instances are associated with the indicated positioning method. </w:t>
      </w:r>
    </w:p>
    <w:p>
      <w:pPr>
        <w:numPr>
          <w:ilvl w:val="0"/>
          <w:numId w:val="9"/>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Option 5: Multiple measurement instances are directly associated with a measurement report.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2</w:t>
      </w:r>
      <w:r>
        <w:rPr>
          <w:rFonts w:ascii="Times New Roman" w:hAnsi="Times New Roman"/>
          <w:sz w:val="20"/>
          <w:szCs w:val="20"/>
        </w:rPr>
        <w:t xml:space="preserve"> shows a skeleton example of UE reporting structure for option 3, where each measurement element may include multiple measurement instances. In addition, the value of N may have impact on the number of measurement instances in a measurement report. For instance, as shown in Figure </w:t>
      </w:r>
      <w:r>
        <w:rPr>
          <w:rFonts w:hint="eastAsia" w:ascii="Times New Roman" w:hAnsi="Times New Roman"/>
          <w:sz w:val="20"/>
          <w:szCs w:val="20"/>
        </w:rPr>
        <w:t>2</w:t>
      </w:r>
      <w:r>
        <w:rPr>
          <w:rFonts w:ascii="Times New Roman" w:hAnsi="Times New Roman"/>
          <w:sz w:val="20"/>
          <w:szCs w:val="20"/>
        </w:rPr>
        <w:t xml:space="preserve">, the number of measurement instances associated with a measurement element (i.e. a TRP) may depend on the value of N and </w:t>
      </w:r>
      <w:bookmarkStart w:id="7" w:name="OLE_LINK3"/>
      <w:r>
        <w:rPr>
          <w:rFonts w:ascii="Times New Roman" w:hAnsi="Times New Roman"/>
          <w:sz w:val="20"/>
          <w:szCs w:val="20"/>
        </w:rPr>
        <w:t>periodicities of DL PRS resource sets</w:t>
      </w:r>
      <w:bookmarkEnd w:id="7"/>
      <w:r>
        <w:rPr>
          <w:rFonts w:ascii="Times New Roman" w:hAnsi="Times New Roman"/>
          <w:sz w:val="20"/>
          <w:szCs w:val="20"/>
        </w:rPr>
        <w:t xml:space="preserve"> associated with the TRP.</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4490085" cy="2124075"/>
            <wp:effectExtent l="0" t="0" r="5715" b="9525"/>
            <wp:docPr id="3" name="图片 3" descr="new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ew report configure"/>
                    <pic:cNvPicPr>
                      <a:picLocks noChangeAspect="1"/>
                    </pic:cNvPicPr>
                  </pic:nvPicPr>
                  <pic:blipFill>
                    <a:blip r:embed="rId6"/>
                    <a:stretch>
                      <a:fillRect/>
                    </a:stretch>
                  </pic:blipFill>
                  <pic:spPr>
                    <a:xfrm>
                      <a:off x="0" y="0"/>
                      <a:ext cx="4490085" cy="212407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2</w:t>
      </w:r>
      <w:r>
        <w:rPr>
          <w:rFonts w:ascii="Times New Roman" w:hAnsi="Times New Roman"/>
          <w:sz w:val="20"/>
          <w:szCs w:val="20"/>
        </w:rPr>
        <w:t>. UE reporting structure for option 3</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ascii="Times New Roman" w:hAnsi="Times New Roman"/>
          <w:i/>
          <w:iCs/>
          <w:sz w:val="20"/>
          <w:szCs w:val="20"/>
        </w:rPr>
        <w:t>: Further discuss the association between measurement instances and UE measurement report, at least consider one of the following options,</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1: For each indicated DL PRS resource in a measurement report, multiple measurement instances are associated with the indicated DL PRS resource.</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2: For each indicated DL PRS resource set in a measurement report, multiple measurement instances are associated with the indicated DL PRS resource set.</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Option 3: For each indicated measurement element (i.e. TRP) in a measurement report, multiple measurement instances are associated with the indicated measurement element. </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Option 4: For each indicated positioning method in a measurement report, multiple measurement instances are associated with the indicated positioning method. </w:t>
      </w:r>
    </w:p>
    <w:p>
      <w:pPr>
        <w:pageBreakBefore w:val="0"/>
        <w:numPr>
          <w:ilvl w:val="0"/>
          <w:numId w:val="10"/>
        </w:numPr>
        <w:kinsoku/>
        <w:wordWrap/>
        <w:overflowPunct/>
        <w:topLinePunct w:val="0"/>
        <w:bidi w:val="0"/>
        <w:snapToGrid w:val="0"/>
        <w:spacing w:before="181" w:beforeLines="50" w:after="181" w:afterLines="50" w:line="240" w:lineRule="auto"/>
        <w:jc w:val="both"/>
        <w:textAlignment w:val="auto"/>
        <w:rPr>
          <w:rFonts w:ascii="Times New Roman" w:hAnsi="Times New Roman"/>
          <w:i/>
          <w:iCs/>
          <w:sz w:val="20"/>
          <w:szCs w:val="20"/>
        </w:rPr>
      </w:pPr>
      <w:r>
        <w:rPr>
          <w:rFonts w:ascii="Times New Roman" w:hAnsi="Times New Roman"/>
          <w:i/>
          <w:iCs/>
          <w:sz w:val="20"/>
          <w:szCs w:val="20"/>
        </w:rPr>
        <w:t>Option 5: Multiple measurement instances are directly associated with a measurement report.</w:t>
      </w:r>
    </w:p>
    <w:p>
      <w:pPr>
        <w:pageBreakBefore w:val="0"/>
        <w:kinsoku/>
        <w:wordWrap/>
        <w:overflowPunct/>
        <w:topLinePunct w:val="0"/>
        <w:bidi w:val="0"/>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i/>
          <w:iCs/>
          <w:sz w:val="20"/>
          <w:szCs w:val="20"/>
        </w:rPr>
        <w:t xml:space="preserve">FFS: </w:t>
      </w:r>
      <w:r>
        <w:rPr>
          <w:rFonts w:hint="eastAsia" w:ascii="Times New Roman" w:hAnsi="Times New Roman"/>
          <w:i/>
          <w:iCs/>
          <w:sz w:val="20"/>
          <w:szCs w:val="20"/>
          <w:lang w:val="en-US" w:eastAsia="zh-CN"/>
        </w:rPr>
        <w:t>T</w:t>
      </w:r>
      <w:r>
        <w:rPr>
          <w:rFonts w:ascii="Times New Roman" w:hAnsi="Times New Roman"/>
          <w:i/>
          <w:iCs/>
          <w:sz w:val="20"/>
          <w:szCs w:val="20"/>
        </w:rPr>
        <w:t>he relationship between the value N and the association between measurement instances and UE measurement report.</w:t>
      </w:r>
    </w:p>
    <w:p>
      <w:pPr>
        <w:pStyle w:val="3"/>
        <w:pageBreakBefore w:val="0"/>
        <w:kinsoku/>
        <w:wordWrap/>
        <w:overflowPunct/>
        <w:topLinePunct w:val="0"/>
        <w:bidi w:val="0"/>
        <w:snapToGrid w:val="0"/>
        <w:spacing w:before="181" w:beforeLines="50" w:after="181" w:afterLines="50" w:line="240" w:lineRule="auto"/>
        <w:textAlignment w:val="auto"/>
        <w:rPr>
          <w:rFonts w:ascii="Times New Roman" w:hAnsi="Times New Roman"/>
          <w:sz w:val="24"/>
          <w:szCs w:val="24"/>
          <w:lang w:val="en-US"/>
        </w:rPr>
      </w:pPr>
      <w:r>
        <w:rPr>
          <w:rFonts w:hint="eastAsia" w:ascii="Times New Roman" w:hAnsi="Times New Roman"/>
          <w:sz w:val="24"/>
          <w:szCs w:val="24"/>
          <w:lang w:val="en-US"/>
        </w:rPr>
        <w:t>Measurement window and time stamp</w:t>
      </w:r>
      <w:r>
        <w:rPr>
          <w:rFonts w:ascii="Times New Roman" w:hAnsi="Times New Roman"/>
          <w:sz w:val="24"/>
          <w:szCs w:val="24"/>
          <w:lang w:val="en-US"/>
        </w:rPr>
        <w:t xml:space="preserve"> of measurement instance</w:t>
      </w:r>
    </w:p>
    <w:p>
      <w:pPr>
        <w:pageBreakBefore w:val="0"/>
        <w:numPr>
          <w:ilvl w:val="255"/>
          <w:numId w:val="0"/>
        </w:numPr>
        <w:kinsoku/>
        <w:wordWrap/>
        <w:overflowPunct/>
        <w:topLinePunct w:val="0"/>
        <w:bidi w:val="0"/>
        <w:snapToGrid w:val="0"/>
        <w:spacing w:before="181" w:beforeLines="50" w:after="181" w:afterLines="50" w:line="240" w:lineRule="auto"/>
        <w:jc w:val="both"/>
        <w:textAlignment w:val="auto"/>
        <w:rPr>
          <w:rFonts w:ascii="Times New Roman" w:hAnsi="Times New Roman"/>
          <w:b/>
          <w:bCs/>
          <w:sz w:val="20"/>
          <w:szCs w:val="20"/>
        </w:rPr>
      </w:pPr>
      <w:r>
        <w:rPr>
          <w:rFonts w:hint="eastAsia" w:ascii="Times New Roman" w:hAnsi="Times New Roman"/>
          <w:sz w:val="20"/>
          <w:szCs w:val="20"/>
        </w:rPr>
        <w:t xml:space="preserve">Measurement instance contains the measurement results derived from </w:t>
      </w:r>
      <w:r>
        <w:rPr>
          <w:rFonts w:hint="eastAsia" w:ascii="Times New Roman" w:hAnsi="Times New Roman"/>
          <w:b/>
          <w:bCs/>
          <w:sz w:val="20"/>
          <w:szCs w:val="20"/>
        </w:rPr>
        <w:t>one PRS resource set shown N times in a period of time</w:t>
      </w:r>
      <w:r>
        <w:rPr>
          <w:rFonts w:ascii="Times New Roman" w:hAnsi="Times New Roman"/>
          <w:b/>
          <w:bCs/>
          <w:sz w:val="20"/>
          <w:szCs w:val="20"/>
        </w:rPr>
        <w:t xml:space="preserve"> </w:t>
      </w:r>
      <w:r>
        <w:rPr>
          <w:rFonts w:hint="eastAsia" w:ascii="Times New Roman" w:hAnsi="Times New Roman"/>
          <w:b/>
          <w:bCs/>
          <w:sz w:val="20"/>
          <w:szCs w:val="20"/>
        </w:rPr>
        <w:t xml:space="preserve">(measurement window). </w:t>
      </w:r>
      <w:r>
        <w:rPr>
          <w:rFonts w:hint="eastAsia" w:ascii="Times New Roman" w:hAnsi="Times New Roman"/>
          <w:sz w:val="20"/>
          <w:szCs w:val="20"/>
        </w:rPr>
        <w:t xml:space="preserve">A detailed example of option 3 is shown in figure 3, where a single TRP contains 2 PRS resource sets, measurement instance 1 contains the measurement results derived from 3 times of PRS resource set 1, and measurement instance 2 contains the measurement results derived from 3 times of PRS resource set 2. </w:t>
      </w:r>
    </w:p>
    <w:p>
      <w:pPr>
        <w:snapToGrid w:val="0"/>
        <w:spacing w:before="180" w:beforeLines="50" w:after="180" w:afterLines="50" w:line="240" w:lineRule="auto"/>
        <w:jc w:val="center"/>
        <w:rPr>
          <w:rFonts w:ascii="Times New Roman" w:hAnsi="Times New Roman"/>
          <w:b/>
          <w:bCs/>
          <w:sz w:val="20"/>
          <w:szCs w:val="20"/>
        </w:rPr>
      </w:pPr>
      <w:r>
        <w:rPr>
          <w:rFonts w:ascii="Times New Roman" w:hAnsi="Times New Roman"/>
          <w:b/>
          <w:bCs/>
          <w:sz w:val="20"/>
          <w:szCs w:val="20"/>
        </w:rPr>
        <w:drawing>
          <wp:inline distT="0" distB="0" distL="114300" distR="114300">
            <wp:extent cx="4642485" cy="2195830"/>
            <wp:effectExtent l="0" t="0" r="0" b="0"/>
            <wp:docPr id="2" name="图片 2" descr="measurement in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easurement instance"/>
                    <pic:cNvPicPr>
                      <a:picLocks noChangeAspect="1"/>
                    </pic:cNvPicPr>
                  </pic:nvPicPr>
                  <pic:blipFill>
                    <a:blip r:embed="rId7"/>
                    <a:stretch>
                      <a:fillRect/>
                    </a:stretch>
                  </pic:blipFill>
                  <pic:spPr>
                    <a:xfrm>
                      <a:off x="0" y="0"/>
                      <a:ext cx="4642485" cy="2195830"/>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 xml:space="preserve">Figure 3. </w:t>
      </w:r>
      <w:r>
        <w:rPr>
          <w:rFonts w:ascii="Times New Roman" w:hAnsi="Times New Roman"/>
          <w:sz w:val="20"/>
          <w:szCs w:val="20"/>
        </w:rPr>
        <w:t>Detailed</w:t>
      </w:r>
      <w:r>
        <w:rPr>
          <w:rFonts w:hint="eastAsia" w:ascii="Times New Roman" w:hAnsi="Times New Roman"/>
          <w:sz w:val="20"/>
          <w:szCs w:val="20"/>
        </w:rPr>
        <w:t xml:space="preserve"> example of option 3</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Due to the different periodicities of DL PRS resource sets, the duration for different measurement instances</w:t>
      </w:r>
      <w:r>
        <w:rPr>
          <w:rFonts w:hint="eastAsia" w:ascii="Times New Roman" w:hAnsi="Times New Roman"/>
          <w:sz w:val="20"/>
          <w:szCs w:val="20"/>
        </w:rPr>
        <w:t>, i.e. measurement window,</w:t>
      </w:r>
      <w:r>
        <w:rPr>
          <w:rFonts w:ascii="Times New Roman" w:hAnsi="Times New Roman"/>
          <w:sz w:val="20"/>
          <w:szCs w:val="20"/>
        </w:rPr>
        <w:t xml:space="preserve"> may be different</w:t>
      </w:r>
      <w:r>
        <w:rPr>
          <w:rFonts w:hint="eastAsia" w:ascii="Times New Roman" w:hAnsi="Times New Roman"/>
          <w:sz w:val="20"/>
          <w:szCs w:val="20"/>
        </w:rPr>
        <w:t>. Also, since UE is well aware of its own timing error shift, it is better to let UE determine the length of measurement window ins</w:t>
      </w:r>
      <w:bookmarkStart w:id="10" w:name="_GoBack"/>
      <w:bookmarkEnd w:id="10"/>
      <w:r>
        <w:rPr>
          <w:rFonts w:hint="eastAsia" w:ascii="Times New Roman" w:hAnsi="Times New Roman"/>
          <w:sz w:val="20"/>
          <w:szCs w:val="20"/>
        </w:rPr>
        <w:t xml:space="preserve">tead of configuring by network in advance. </w:t>
      </w:r>
      <w:r>
        <w:rPr>
          <w:rFonts w:ascii="Times New Roman" w:hAnsi="Times New Roman"/>
          <w:sz w:val="20"/>
          <w:szCs w:val="20"/>
        </w:rPr>
        <w:t>As we agreed, each measurement instance is reported with its own time stamp. In current specification, the time stamp specifies the time instance at which the measurement is performed. However, for multiple measurement instances in a measurement report, we can assume that the timing error is almost static within the duration of a measurement instance, so there is no need to report time stamp for each measurement results within a measurement instance. That’s to say, each measurement instance will only have one time stamp.</w:t>
      </w:r>
      <w:r>
        <w:rPr>
          <w:rFonts w:hint="eastAsia" w:ascii="Times New Roman" w:hAnsi="Times New Roman"/>
          <w:sz w:val="20"/>
          <w:szCs w:val="20"/>
        </w:rPr>
        <w:t xml:space="preserve"> Therefore, one solution to achieve</w:t>
      </w:r>
      <w:r>
        <w:rPr>
          <w:rFonts w:ascii="Times New Roman" w:hAnsi="Times New Roman"/>
          <w:sz w:val="20"/>
          <w:szCs w:val="20"/>
        </w:rPr>
        <w:t xml:space="preserve"> the</w:t>
      </w:r>
      <w:r>
        <w:rPr>
          <w:rFonts w:hint="eastAsia" w:ascii="Times New Roman" w:hAnsi="Times New Roman"/>
          <w:sz w:val="20"/>
          <w:szCs w:val="20"/>
        </w:rPr>
        <w:t xml:space="preserve"> UE reporting length of measurement window is</w:t>
      </w:r>
      <w:r>
        <w:rPr>
          <w:rFonts w:ascii="Times New Roman" w:hAnsi="Times New Roman"/>
          <w:sz w:val="20"/>
          <w:szCs w:val="20"/>
        </w:rPr>
        <w:t xml:space="preserve"> to enhance the time stamp defined in Rel-16. The</w:t>
      </w:r>
      <w:r>
        <w:rPr>
          <w:rFonts w:hint="eastAsia" w:ascii="Times New Roman" w:hAnsi="Times New Roman"/>
          <w:sz w:val="20"/>
          <w:szCs w:val="20"/>
        </w:rPr>
        <w:t xml:space="preserve"> enhanced</w:t>
      </w:r>
      <w:r>
        <w:rPr>
          <w:rFonts w:ascii="Times New Roman" w:hAnsi="Times New Roman"/>
          <w:sz w:val="20"/>
          <w:szCs w:val="20"/>
        </w:rPr>
        <w:t xml:space="preserve"> time stamp for a measurement instance should indicate a time window, wherein the corresponding measurement instance is conducted in this time window. For example, the time stamp can include,</w:t>
      </w:r>
    </w:p>
    <w:p>
      <w:pPr>
        <w:numPr>
          <w:ilvl w:val="0"/>
          <w:numId w:val="11"/>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 xml:space="preserve"> starting time stamp that corresponds to a reception time of the first reference signal for determining a measurement instance</w:t>
      </w:r>
      <w:r>
        <w:rPr>
          <w:rFonts w:hint="eastAsia" w:ascii="Times New Roman" w:hAnsi="Times New Roman"/>
          <w:sz w:val="20"/>
          <w:szCs w:val="20"/>
        </w:rPr>
        <w:t>,</w:t>
      </w:r>
      <w:r>
        <w:rPr>
          <w:rFonts w:ascii="Times New Roman" w:hAnsi="Times New Roman"/>
          <w:sz w:val="20"/>
          <w:szCs w:val="20"/>
        </w:rPr>
        <w:t xml:space="preserve"> and </w:t>
      </w:r>
    </w:p>
    <w:p>
      <w:pPr>
        <w:numPr>
          <w:ilvl w:val="0"/>
          <w:numId w:val="11"/>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n ending time stamp that corresponds to a reception time of the last reference signal for determining the measurement instance.</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ascii="Times New Roman" w:hAnsi="Times New Roman"/>
          <w:b/>
          <w:bCs/>
          <w:i/>
          <w:iCs/>
          <w:sz w:val="20"/>
          <w:szCs w:val="20"/>
        </w:rPr>
        <w:t>:</w:t>
      </w:r>
      <w:r>
        <w:rPr>
          <w:rFonts w:ascii="Times New Roman" w:hAnsi="Times New Roman"/>
          <w:i/>
          <w:iCs/>
          <w:sz w:val="20"/>
          <w:szCs w:val="20"/>
        </w:rPr>
        <w:t xml:space="preserve"> Define the time stamp for a measurement instance, where the time stamp is a time window indicated by,</w:t>
      </w:r>
    </w:p>
    <w:p>
      <w:pPr>
        <w:numPr>
          <w:ilvl w:val="0"/>
          <w:numId w:val="11"/>
        </w:numPr>
        <w:snapToGrid w:val="0"/>
        <w:spacing w:before="180" w:beforeLines="50" w:after="180" w:afterLines="50" w:line="240" w:lineRule="auto"/>
        <w:ind w:left="880" w:hanging="440"/>
        <w:jc w:val="both"/>
        <w:rPr>
          <w:rFonts w:ascii="Times New Roman" w:hAnsi="Times New Roman"/>
          <w:i/>
          <w:iCs/>
          <w:sz w:val="20"/>
          <w:szCs w:val="20"/>
        </w:rPr>
      </w:pPr>
      <w:r>
        <w:rPr>
          <w:rFonts w:hint="eastAsia" w:ascii="Times New Roman" w:hAnsi="Times New Roman"/>
          <w:i/>
          <w:iCs/>
          <w:sz w:val="20"/>
          <w:szCs w:val="20"/>
        </w:rPr>
        <w:t>A</w:t>
      </w:r>
      <w:r>
        <w:rPr>
          <w:rFonts w:ascii="Times New Roman" w:hAnsi="Times New Roman"/>
          <w:i/>
          <w:iCs/>
          <w:sz w:val="20"/>
          <w:szCs w:val="20"/>
        </w:rPr>
        <w:t xml:space="preserve"> starting time stamp that corresponds to a reception time of the first reference signal for determining a measurement instance</w:t>
      </w:r>
      <w:r>
        <w:rPr>
          <w:rFonts w:hint="eastAsia" w:ascii="Times New Roman" w:hAnsi="Times New Roman"/>
          <w:i/>
          <w:iCs/>
          <w:sz w:val="20"/>
          <w:szCs w:val="20"/>
        </w:rPr>
        <w:t>,</w:t>
      </w:r>
      <w:r>
        <w:rPr>
          <w:rFonts w:ascii="Times New Roman" w:hAnsi="Times New Roman"/>
          <w:i/>
          <w:iCs/>
          <w:sz w:val="20"/>
          <w:szCs w:val="20"/>
        </w:rPr>
        <w:t xml:space="preserve"> and </w:t>
      </w:r>
    </w:p>
    <w:p>
      <w:pPr>
        <w:numPr>
          <w:ilvl w:val="0"/>
          <w:numId w:val="11"/>
        </w:numPr>
        <w:snapToGrid w:val="0"/>
        <w:spacing w:before="180" w:beforeLines="50" w:after="180" w:afterLines="50" w:line="240" w:lineRule="auto"/>
        <w:ind w:left="880" w:hanging="440"/>
        <w:jc w:val="both"/>
        <w:rPr>
          <w:rFonts w:ascii="Times New Roman" w:hAnsi="Times New Roman"/>
          <w:sz w:val="20"/>
          <w:szCs w:val="20"/>
        </w:rPr>
      </w:pPr>
      <w:r>
        <w:rPr>
          <w:rFonts w:hint="eastAsia" w:ascii="Times New Roman" w:hAnsi="Times New Roman"/>
          <w:i/>
          <w:iCs/>
          <w:sz w:val="20"/>
          <w:szCs w:val="20"/>
        </w:rPr>
        <w:t>A</w:t>
      </w:r>
      <w:r>
        <w:rPr>
          <w:rFonts w:ascii="Times New Roman" w:hAnsi="Times New Roman"/>
          <w:i/>
          <w:iCs/>
          <w:sz w:val="20"/>
          <w:szCs w:val="20"/>
        </w:rPr>
        <w:t>n ending time stamp that corresponds to a reception time of the last reference signal for determining the measurement instance.</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Conclusions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this contribution, we discuss</w:t>
      </w:r>
      <w:r>
        <w:rPr>
          <w:rFonts w:hint="eastAsia" w:ascii="Times New Roman" w:hAnsi="Times New Roman"/>
          <w:sz w:val="20"/>
          <w:szCs w:val="20"/>
        </w:rPr>
        <w:t xml:space="preserve"> positioning accuracy improvement by mitigating timing delay</w:t>
      </w:r>
      <w:r>
        <w:rPr>
          <w:rFonts w:ascii="Times New Roman" w:hAnsi="Times New Roman"/>
          <w:sz w:val="20"/>
          <w:szCs w:val="20"/>
        </w:rPr>
        <w:t xml:space="preserve">. Based on the discussion, we have the following </w:t>
      </w:r>
      <w:r>
        <w:rPr>
          <w:rFonts w:hint="eastAsia" w:ascii="Times New Roman" w:hAnsi="Times New Roman"/>
          <w:sz w:val="20"/>
          <w:szCs w:val="20"/>
        </w:rPr>
        <w:t xml:space="preserve">observations and </w:t>
      </w:r>
      <w:r>
        <w:rPr>
          <w:rFonts w:ascii="Times New Roman" w:hAnsi="Times New Roman"/>
          <w:sz w:val="20"/>
          <w:szCs w:val="20"/>
        </w:rPr>
        <w:t>proposal</w:t>
      </w:r>
      <w:r>
        <w:rPr>
          <w:rFonts w:hint="eastAsia" w:ascii="Times New Roman" w:hAnsi="Times New Roman"/>
          <w:sz w:val="20"/>
          <w:szCs w:val="20"/>
        </w:rPr>
        <w:t>s:</w:t>
      </w:r>
    </w:p>
    <w:p>
      <w:pPr>
        <w:snapToGrid w:val="0"/>
        <w:spacing w:before="180" w:beforeLines="50" w:after="180" w:afterLines="50" w:line="240" w:lineRule="auto"/>
        <w:jc w:val="both"/>
        <w:rPr>
          <w:rFonts w:hint="default" w:ascii="Times New Roman" w:hAnsi="Times New Roman" w:eastAsiaTheme="minorEastAsia"/>
          <w:i/>
          <w:iCs/>
          <w:sz w:val="20"/>
          <w:szCs w:val="20"/>
          <w:lang w:val="en-US" w:eastAsia="zh-CN"/>
        </w:rPr>
      </w:pPr>
      <w:r>
        <w:rPr>
          <w:rFonts w:hint="eastAsia" w:ascii="Times New Roman" w:hAnsi="Times New Roman"/>
          <w:b/>
          <w:bCs/>
          <w:i/>
          <w:iCs/>
          <w:sz w:val="20"/>
          <w:szCs w:val="20"/>
          <w:lang w:val="en-US" w:eastAsia="zh-CN"/>
        </w:rPr>
        <w:t>Observation 1:</w:t>
      </w:r>
      <w:r>
        <w:rPr>
          <w:rFonts w:hint="eastAsia" w:ascii="Times New Roman" w:hAnsi="Times New Roman"/>
          <w:i/>
          <w:iCs/>
          <w:sz w:val="20"/>
          <w:szCs w:val="20"/>
          <w:lang w:val="en-US" w:eastAsia="zh-CN"/>
        </w:rPr>
        <w:t xml:space="preserve"> It</w:t>
      </w:r>
      <w:r>
        <w:rPr>
          <w:rFonts w:hint="default" w:ascii="Times New Roman" w:hAnsi="Times New Roman"/>
          <w:i/>
          <w:iCs/>
          <w:sz w:val="20"/>
          <w:szCs w:val="20"/>
          <w:lang w:val="en-US" w:eastAsia="zh-CN"/>
        </w:rPr>
        <w:t>’</w:t>
      </w:r>
      <w:r>
        <w:rPr>
          <w:rFonts w:hint="eastAsia" w:ascii="Times New Roman" w:hAnsi="Times New Roman"/>
          <w:i/>
          <w:iCs/>
          <w:sz w:val="20"/>
          <w:szCs w:val="20"/>
          <w:lang w:val="en-US" w:eastAsia="zh-CN"/>
        </w:rPr>
        <w:t xml:space="preserve">s enough to determine a TEG based on the dimension of </w:t>
      </w:r>
      <w:r>
        <w:rPr>
          <w:rFonts w:hint="eastAsia" w:ascii="Times New Roman" w:hAnsi="Times New Roman"/>
          <w:i/>
          <w:iCs/>
          <w:sz w:val="20"/>
          <w:szCs w:val="20"/>
        </w:rPr>
        <w:t>spatial (panel/RF chain/antenna)</w:t>
      </w:r>
      <w:r>
        <w:rPr>
          <w:rFonts w:hint="eastAsia" w:ascii="Times New Roman" w:hAnsi="Times New Roman"/>
          <w:i/>
          <w:iCs/>
          <w:sz w:val="20"/>
          <w:szCs w:val="20"/>
          <w:lang w:val="en-US" w:eastAsia="zh-CN"/>
        </w:rPr>
        <w:t xml:space="preserve"> and frequency, since timing error shift over time can already be reflected in different measurement instances.</w:t>
      </w:r>
    </w:p>
    <w:p>
      <w:pPr>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1: </w:t>
      </w:r>
      <w:r>
        <w:rPr>
          <w:rFonts w:hint="eastAsia" w:ascii="Times New Roman" w:hAnsi="Times New Roman" w:eastAsia="宋体"/>
          <w:i/>
          <w:iCs/>
          <w:sz w:val="20"/>
          <w:szCs w:val="20"/>
        </w:rPr>
        <w:t xml:space="preserve">For DL+UL positioning, </w:t>
      </w:r>
      <w:r>
        <w:rPr>
          <w:rFonts w:ascii="Times New Roman" w:hAnsi="Times New Roman" w:eastAsia="宋体"/>
          <w:i/>
          <w:iCs/>
          <w:sz w:val="20"/>
          <w:szCs w:val="20"/>
        </w:rPr>
        <w:t xml:space="preserve">support a UE to </w:t>
      </w:r>
      <w:r>
        <w:rPr>
          <w:rFonts w:ascii="Times New Roman" w:hAnsi="Times New Roman"/>
          <w:i/>
          <w:iCs/>
          <w:sz w:val="20"/>
          <w:szCs w:val="20"/>
        </w:rPr>
        <w:t xml:space="preserve">provide the association information of a UE Rx-Tx time difference measurement with a pair of {Rx TEG, Tx TEG} to LMF. </w:t>
      </w:r>
    </w:p>
    <w:p>
      <w:pPr>
        <w:pStyle w:val="88"/>
        <w:numPr>
          <w:ilvl w:val="0"/>
          <w:numId w:val="4"/>
        </w:numPr>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i/>
          <w:iCs/>
          <w:sz w:val="20"/>
          <w:szCs w:val="20"/>
        </w:rPr>
        <w:t>S</w:t>
      </w:r>
      <w:r>
        <w:rPr>
          <w:rFonts w:hint="eastAsia" w:ascii="Times New Roman" w:hAnsi="Times New Roman" w:eastAsia="宋体"/>
          <w:i/>
          <w:iCs/>
          <w:sz w:val="20"/>
          <w:szCs w:val="20"/>
        </w:rPr>
        <w:t xml:space="preserve">upport an additional UE capability to indicate </w:t>
      </w:r>
      <w:r>
        <w:rPr>
          <w:rFonts w:hint="eastAsia" w:ascii="Times New Roman" w:hAnsi="Times New Roman"/>
          <w:i/>
          <w:iCs/>
          <w:sz w:val="20"/>
          <w:szCs w:val="20"/>
        </w:rPr>
        <w:t xml:space="preserve">which </w:t>
      </w:r>
      <w:r>
        <w:rPr>
          <w:rFonts w:ascii="Times New Roman" w:hAnsi="Times New Roman" w:eastAsia="宋体"/>
          <w:i/>
          <w:iCs/>
          <w:sz w:val="20"/>
          <w:szCs w:val="20"/>
        </w:rPr>
        <w:t>{Rx TEG, Tx TEG} pair</w:t>
      </w:r>
      <w:r>
        <w:rPr>
          <w:rFonts w:hint="eastAsia" w:ascii="Times New Roman" w:hAnsi="Times New Roman" w:eastAsia="宋体"/>
          <w:i/>
          <w:iCs/>
          <w:sz w:val="20"/>
          <w:szCs w:val="20"/>
        </w:rPr>
        <w:t xml:space="preserve">s are in a same </w:t>
      </w:r>
      <w:r>
        <w:rPr>
          <w:rFonts w:ascii="Times New Roman" w:hAnsi="Times New Roman" w:eastAsia="宋体"/>
          <w:i/>
          <w:iCs/>
          <w:sz w:val="20"/>
          <w:szCs w:val="20"/>
        </w:rPr>
        <w:t>RxTx TEG</w:t>
      </w:r>
      <w:r>
        <w:rPr>
          <w:rFonts w:hint="eastAsia" w:ascii="Times New Roman" w:hAnsi="Times New Roman" w:eastAsia="宋体"/>
          <w:i/>
          <w:iCs/>
          <w:sz w:val="20"/>
          <w:szCs w:val="20"/>
        </w:rPr>
        <w:t>.</w:t>
      </w:r>
    </w:p>
    <w:p>
      <w:pPr>
        <w:snapToGrid w:val="0"/>
        <w:spacing w:before="180" w:beforeLines="50" w:after="180" w:afterLines="50" w:line="240" w:lineRule="auto"/>
        <w:jc w:val="both"/>
        <w:rPr>
          <w:rFonts w:hint="eastAsia"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Whether Tx TEG associates with SRS resource, SRS resource set or SRS port depends on different SRS usages and UE capability, e.g. UE antenna coherent capability, UE antenna switching capability, etc. </w:t>
      </w:r>
    </w:p>
    <w:p>
      <w:pPr>
        <w:adjustRightInd/>
        <w:snapToGrid w:val="0"/>
        <w:spacing w:before="181" w:beforeLines="50" w:after="181" w:afterLines="50" w:line="240" w:lineRule="auto"/>
        <w:jc w:val="both"/>
        <w:rPr>
          <w:rFonts w:hint="eastAsia" w:ascii="Times New Roman" w:hAnsi="Times New Roman"/>
          <w:i/>
          <w:iCs/>
          <w:sz w:val="20"/>
          <w:szCs w:val="20"/>
        </w:rPr>
      </w:pPr>
      <w:r>
        <w:rPr>
          <w:rFonts w:hint="eastAsia" w:ascii="Times New Roman" w:hAnsi="Times New Roman" w:eastAsia="宋体"/>
          <w:b/>
          <w:bCs/>
          <w:i/>
          <w:iCs/>
          <w:sz w:val="20"/>
          <w:szCs w:val="20"/>
          <w:lang w:val="en-US" w:eastAsia="zh-CN"/>
        </w:rPr>
        <w:t xml:space="preserve">Proposal 3: </w:t>
      </w:r>
      <w:r>
        <w:rPr>
          <w:rFonts w:hint="eastAsia" w:ascii="Times New Roman" w:hAnsi="Times New Roman" w:eastAsia="宋体"/>
          <w:b w:val="0"/>
          <w:bCs w:val="0"/>
          <w:i/>
          <w:iCs/>
          <w:sz w:val="20"/>
          <w:szCs w:val="20"/>
          <w:lang w:val="en-US" w:eastAsia="zh-CN"/>
        </w:rPr>
        <w:t>Su</w:t>
      </w:r>
      <w:r>
        <w:rPr>
          <w:rFonts w:hint="eastAsia" w:ascii="Times New Roman" w:hAnsi="Times New Roman" w:eastAsia="宋体"/>
          <w:i/>
          <w:iCs/>
          <w:sz w:val="20"/>
          <w:szCs w:val="20"/>
          <w:lang w:val="en-US" w:eastAsia="zh-CN"/>
        </w:rPr>
        <w:t>pport to include UE Tx TEG information in location measurement report.</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4</w:t>
      </w:r>
      <w:r>
        <w:rPr>
          <w:rFonts w:ascii="Times New Roman" w:hAnsi="Times New Roman"/>
          <w:i/>
          <w:iCs/>
          <w:sz w:val="20"/>
          <w:szCs w:val="20"/>
        </w:rPr>
        <w:t xml:space="preserve">: Further discuss how to configure the number of instances of DL PRS resource set in a UE measurement instance (i.e. the value N), at least consider one of the following </w:t>
      </w:r>
      <w:r>
        <w:rPr>
          <w:rFonts w:hint="eastAsia" w:ascii="Times New Roman" w:hAnsi="Times New Roman"/>
          <w:i/>
          <w:iCs/>
          <w:sz w:val="20"/>
          <w:szCs w:val="20"/>
        </w:rPr>
        <w:t>alternative</w:t>
      </w:r>
      <w:r>
        <w:rPr>
          <w:rFonts w:ascii="Times New Roman" w:hAnsi="Times New Roman"/>
          <w:i/>
          <w:iCs/>
          <w:sz w:val="20"/>
          <w:szCs w:val="20"/>
        </w:rPr>
        <w:t>s,</w:t>
      </w:r>
    </w:p>
    <w:p>
      <w:pPr>
        <w:numPr>
          <w:ilvl w:val="0"/>
          <w:numId w:val="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Alt</w:t>
      </w:r>
      <w:r>
        <w:rPr>
          <w:rFonts w:ascii="Times New Roman" w:hAnsi="Times New Roman"/>
          <w:i/>
          <w:iCs/>
          <w:sz w:val="20"/>
          <w:szCs w:val="20"/>
        </w:rPr>
        <w:t xml:space="preserve"> 1: configured by LMF per DL PRS resource set. </w:t>
      </w:r>
    </w:p>
    <w:p>
      <w:pPr>
        <w:numPr>
          <w:ilvl w:val="0"/>
          <w:numId w:val="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Alt</w:t>
      </w:r>
      <w:r>
        <w:rPr>
          <w:rFonts w:ascii="Times New Roman" w:hAnsi="Times New Roman"/>
          <w:i/>
          <w:iCs/>
          <w:sz w:val="20"/>
          <w:szCs w:val="20"/>
        </w:rPr>
        <w:t xml:space="preserve"> 2: configured by LMF per TRP.</w:t>
      </w:r>
    </w:p>
    <w:p>
      <w:pPr>
        <w:numPr>
          <w:ilvl w:val="0"/>
          <w:numId w:val="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Alt</w:t>
      </w:r>
      <w:r>
        <w:rPr>
          <w:rFonts w:ascii="Times New Roman" w:hAnsi="Times New Roman"/>
          <w:i/>
          <w:iCs/>
          <w:sz w:val="20"/>
          <w:szCs w:val="20"/>
        </w:rPr>
        <w:t xml:space="preserve"> 3: configured by LMF per positioning frequency layer.</w:t>
      </w:r>
    </w:p>
    <w:p>
      <w:pPr>
        <w:numPr>
          <w:ilvl w:val="0"/>
          <w:numId w:val="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Alt</w:t>
      </w:r>
      <w:r>
        <w:rPr>
          <w:rFonts w:ascii="Times New Roman" w:hAnsi="Times New Roman"/>
          <w:i/>
          <w:iCs/>
          <w:sz w:val="20"/>
          <w:szCs w:val="20"/>
        </w:rPr>
        <w:t xml:space="preserve"> 4: configured by LMF per measurement report. </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5</w:t>
      </w:r>
      <w:r>
        <w:rPr>
          <w:rFonts w:ascii="Times New Roman" w:hAnsi="Times New Roman"/>
          <w:i/>
          <w:iCs/>
          <w:sz w:val="20"/>
          <w:szCs w:val="20"/>
        </w:rPr>
        <w:t>: Further discuss the association between measurement instances and UE measurement report, at least consider one of the following options,</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1: For each indicated DL PRS resource in a measurement report, multiple measurement instances are associated with the indicated DL PRS resource.</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2: For each indicated DL PRS resource set in a measurement report, multiple measurement instances are associated with the indicated DL PRS resource set.</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Option 3: For each indicated measurement element (i.e. TRP) in a measurement report, multiple measurement instances are associated with the indicated measurement element. </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Option 4: For each indicated positioning method in a measurement report, multiple measurement instances are associated with the indicated positioning method. </w:t>
      </w:r>
    </w:p>
    <w:p>
      <w:pPr>
        <w:numPr>
          <w:ilvl w:val="0"/>
          <w:numId w:val="1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5: Multiple measurement instances are directly associated with a measurement report.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i/>
          <w:iCs/>
          <w:sz w:val="20"/>
          <w:szCs w:val="20"/>
        </w:rPr>
        <w:t xml:space="preserve">FFS: </w:t>
      </w:r>
      <w:r>
        <w:rPr>
          <w:rFonts w:hint="eastAsia" w:ascii="Times New Roman" w:hAnsi="Times New Roman"/>
          <w:i/>
          <w:iCs/>
          <w:sz w:val="20"/>
          <w:szCs w:val="20"/>
          <w:lang w:val="en-US" w:eastAsia="zh-CN"/>
        </w:rPr>
        <w:t>T</w:t>
      </w:r>
      <w:r>
        <w:rPr>
          <w:rFonts w:ascii="Times New Roman" w:hAnsi="Times New Roman"/>
          <w:i/>
          <w:iCs/>
          <w:sz w:val="20"/>
          <w:szCs w:val="20"/>
        </w:rPr>
        <w:t>he relationship between the value N and the association between measurement instances and UE measurement report.</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ascii="Times New Roman" w:hAnsi="Times New Roman"/>
          <w:b/>
          <w:bCs/>
          <w:i/>
          <w:iCs/>
          <w:sz w:val="20"/>
          <w:szCs w:val="20"/>
        </w:rPr>
        <w:t>:</w:t>
      </w:r>
      <w:r>
        <w:rPr>
          <w:rFonts w:ascii="Times New Roman" w:hAnsi="Times New Roman"/>
          <w:i/>
          <w:iCs/>
          <w:sz w:val="20"/>
          <w:szCs w:val="20"/>
        </w:rPr>
        <w:t xml:space="preserve"> Define the time stamp for a measurement instance, where the time stamp is a time window indicated by,</w:t>
      </w:r>
    </w:p>
    <w:p>
      <w:pPr>
        <w:numPr>
          <w:ilvl w:val="0"/>
          <w:numId w:val="11"/>
        </w:numPr>
        <w:snapToGrid w:val="0"/>
        <w:spacing w:before="180" w:beforeLines="50" w:after="180" w:afterLines="50" w:line="240" w:lineRule="auto"/>
        <w:ind w:left="880" w:hanging="440"/>
        <w:jc w:val="both"/>
        <w:rPr>
          <w:rFonts w:ascii="Times New Roman" w:hAnsi="Times New Roman"/>
          <w:i/>
          <w:iCs/>
          <w:sz w:val="20"/>
          <w:szCs w:val="20"/>
        </w:rPr>
      </w:pPr>
      <w:r>
        <w:rPr>
          <w:rFonts w:hint="eastAsia" w:ascii="Times New Roman" w:hAnsi="Times New Roman"/>
          <w:i/>
          <w:iCs/>
          <w:sz w:val="20"/>
          <w:szCs w:val="20"/>
        </w:rPr>
        <w:t>A</w:t>
      </w:r>
      <w:r>
        <w:rPr>
          <w:rFonts w:ascii="Times New Roman" w:hAnsi="Times New Roman"/>
          <w:i/>
          <w:iCs/>
          <w:sz w:val="20"/>
          <w:szCs w:val="20"/>
        </w:rPr>
        <w:t xml:space="preserve"> starting time stamp that corresponds to a reception time of the first reference signal for determining a measurement instance</w:t>
      </w:r>
      <w:r>
        <w:rPr>
          <w:rFonts w:hint="eastAsia" w:ascii="Times New Roman" w:hAnsi="Times New Roman"/>
          <w:i/>
          <w:iCs/>
          <w:sz w:val="20"/>
          <w:szCs w:val="20"/>
        </w:rPr>
        <w:t>,</w:t>
      </w:r>
      <w:r>
        <w:rPr>
          <w:rFonts w:ascii="Times New Roman" w:hAnsi="Times New Roman"/>
          <w:i/>
          <w:iCs/>
          <w:sz w:val="20"/>
          <w:szCs w:val="20"/>
        </w:rPr>
        <w:t xml:space="preserve"> and </w:t>
      </w:r>
    </w:p>
    <w:p>
      <w:pPr>
        <w:numPr>
          <w:ilvl w:val="0"/>
          <w:numId w:val="11"/>
        </w:numPr>
        <w:snapToGrid w:val="0"/>
        <w:spacing w:before="180" w:beforeLines="50" w:after="180" w:afterLines="50" w:line="240" w:lineRule="auto"/>
        <w:ind w:left="880" w:hanging="440"/>
        <w:jc w:val="both"/>
        <w:rPr>
          <w:rFonts w:ascii="Times New Roman" w:hAnsi="Times New Roman"/>
          <w:i/>
          <w:iCs/>
          <w:sz w:val="20"/>
          <w:szCs w:val="20"/>
        </w:rPr>
      </w:pPr>
      <w:r>
        <w:rPr>
          <w:rFonts w:hint="eastAsia" w:ascii="Times New Roman" w:hAnsi="Times New Roman"/>
          <w:i/>
          <w:iCs/>
          <w:sz w:val="20"/>
          <w:szCs w:val="20"/>
        </w:rPr>
        <w:t>A</w:t>
      </w:r>
      <w:r>
        <w:rPr>
          <w:rFonts w:ascii="Times New Roman" w:hAnsi="Times New Roman"/>
          <w:i/>
          <w:iCs/>
          <w:sz w:val="20"/>
          <w:szCs w:val="20"/>
        </w:rPr>
        <w:t>n ending time stamp that corresponds to a reception time of the last reference signal for determining the measurement instance.</w:t>
      </w:r>
    </w:p>
    <w:p>
      <w:pPr>
        <w:pStyle w:val="2"/>
        <w:snapToGrid w:val="0"/>
        <w:spacing w:before="180" w:beforeLines="50" w:after="180" w:afterLines="50"/>
        <w:ind w:left="431" w:hanging="431"/>
        <w:jc w:val="both"/>
        <w:rPr>
          <w:rFonts w:ascii="Times New Roman" w:hAnsi="Times New Roman"/>
          <w:sz w:val="28"/>
          <w:lang w:val="en-US"/>
        </w:rPr>
      </w:pPr>
      <w:bookmarkStart w:id="8" w:name="OLE_LINK10"/>
      <w:bookmarkStart w:id="9" w:name="OLE_LINK11"/>
      <w:r>
        <w:rPr>
          <w:rFonts w:ascii="Times New Roman" w:hAnsi="Times New Roman"/>
          <w:sz w:val="28"/>
          <w:lang w:val="en-US"/>
        </w:rPr>
        <w:t>References</w:t>
      </w:r>
    </w:p>
    <w:bookmarkEnd w:id="8"/>
    <w:bookmarkEnd w:id="9"/>
    <w:p>
      <w:pPr>
        <w:numPr>
          <w:ilvl w:val="0"/>
          <w:numId w:val="12"/>
        </w:numPr>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rPr>
        <w:t>Draft Report of 3GPP TSG RAN WG1 #104-bis-e, RAN1 Chairman Notes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325C1"/>
    <w:multiLevelType w:val="multilevel"/>
    <w:tmpl w:val="8EB325C1"/>
    <w:lvl w:ilvl="0" w:tentative="0">
      <w:start w:val="1"/>
      <w:numFmt w:val="bullet"/>
      <w:lvlText w:val="•"/>
      <w:lvlJc w:val="left"/>
      <w:pPr>
        <w:ind w:left="420" w:hanging="420"/>
      </w:pPr>
      <w:rPr>
        <w:rFonts w:hint="default" w:ascii="BatangChe" w:hAnsi="BatangChe" w:eastAsia="BatangChe" w:cs="BatangCh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B317893E"/>
    <w:multiLevelType w:val="singleLevel"/>
    <w:tmpl w:val="B317893E"/>
    <w:lvl w:ilvl="0" w:tentative="0">
      <w:start w:val="1"/>
      <w:numFmt w:val="decimal"/>
      <w:suff w:val="space"/>
      <w:lvlText w:val="[%1]"/>
      <w:lvlJc w:val="left"/>
    </w:lvl>
  </w:abstractNum>
  <w:abstractNum w:abstractNumId="2">
    <w:nsid w:val="D9DEF718"/>
    <w:multiLevelType w:val="singleLevel"/>
    <w:tmpl w:val="D9DEF718"/>
    <w:lvl w:ilvl="0" w:tentative="0">
      <w:start w:val="1"/>
      <w:numFmt w:val="bullet"/>
      <w:lvlText w:val="•"/>
      <w:lvlJc w:val="left"/>
      <w:pPr>
        <w:ind w:left="420" w:hanging="420"/>
      </w:pPr>
      <w:rPr>
        <w:rFonts w:hint="default" w:ascii="BatangChe" w:hAnsi="BatangChe" w:eastAsia="BatangChe" w:cs="BatangChe"/>
      </w:rPr>
    </w:lvl>
  </w:abstractNum>
  <w:abstractNum w:abstractNumId="3">
    <w:nsid w:val="FBC7C70E"/>
    <w:multiLevelType w:val="singleLevel"/>
    <w:tmpl w:val="FBC7C70E"/>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4">
    <w:nsid w:val="FE1D3A36"/>
    <w:multiLevelType w:val="singleLevel"/>
    <w:tmpl w:val="FE1D3A36"/>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5">
    <w:nsid w:val="0082FED6"/>
    <w:multiLevelType w:val="singleLevel"/>
    <w:tmpl w:val="0082FED6"/>
    <w:lvl w:ilvl="0" w:tentative="0">
      <w:start w:val="1"/>
      <w:numFmt w:val="bullet"/>
      <w:lvlText w:val="•"/>
      <w:lvlJc w:val="left"/>
      <w:pPr>
        <w:ind w:left="420" w:hanging="420"/>
      </w:pPr>
      <w:rPr>
        <w:rFonts w:hint="default" w:ascii="BatangChe" w:hAnsi="BatangChe" w:eastAsia="BatangChe" w:cs="BatangChe"/>
      </w:rPr>
    </w:lvl>
  </w:abstractNum>
  <w:abstractNum w:abstractNumId="6">
    <w:nsid w:val="14B95B3D"/>
    <w:multiLevelType w:val="singleLevel"/>
    <w:tmpl w:val="14B95B3D"/>
    <w:lvl w:ilvl="0" w:tentative="0">
      <w:start w:val="1"/>
      <w:numFmt w:val="bullet"/>
      <w:lvlText w:val="•"/>
      <w:lvlJc w:val="left"/>
      <w:pPr>
        <w:ind w:left="420" w:hanging="420"/>
      </w:pPr>
      <w:rPr>
        <w:rFonts w:hint="default" w:ascii="BatangChe" w:hAnsi="BatangChe" w:eastAsia="BatangChe" w:cs="BatangChe"/>
      </w:rPr>
    </w:lvl>
  </w:abstractNum>
  <w:abstractNum w:abstractNumId="7">
    <w:nsid w:val="210B5F73"/>
    <w:multiLevelType w:val="multilevel"/>
    <w:tmpl w:val="210B5F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0">
    <w:nsid w:val="5E4A6974"/>
    <w:multiLevelType w:val="multilevel"/>
    <w:tmpl w:val="5E4A6974"/>
    <w:lvl w:ilvl="0" w:tentative="0">
      <w:start w:val="1"/>
      <w:numFmt w:val="bullet"/>
      <w:lvlText w:val="•"/>
      <w:lvlJc w:val="left"/>
      <w:pPr>
        <w:ind w:left="420" w:hanging="420"/>
      </w:pPr>
      <w:rPr>
        <w:rFonts w:hint="default" w:ascii="BatangChe" w:hAnsi="BatangChe" w:eastAsia="BatangChe" w:cs="BatangCh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74164238"/>
    <w:multiLevelType w:val="multilevel"/>
    <w:tmpl w:val="74164238"/>
    <w:lvl w:ilvl="0" w:tentative="0">
      <w:start w:val="1"/>
      <w:numFmt w:val="bullet"/>
      <w:lvlText w:val="•"/>
      <w:lvlJc w:val="left"/>
      <w:pPr>
        <w:ind w:left="852" w:hanging="420"/>
      </w:pPr>
      <w:rPr>
        <w:rFonts w:hint="default" w:ascii="BatangChe" w:hAnsi="BatangChe" w:eastAsia="BatangChe" w:cs="BatangChe"/>
      </w:rPr>
    </w:lvl>
    <w:lvl w:ilvl="1" w:tentative="0">
      <w:start w:val="1"/>
      <w:numFmt w:val="bullet"/>
      <w:lvlText w:val=""/>
      <w:lvlJc w:val="left"/>
      <w:pPr>
        <w:ind w:left="1272" w:hanging="420"/>
      </w:pPr>
      <w:rPr>
        <w:rFonts w:hint="default" w:ascii="Wingdings" w:hAnsi="Wingdings"/>
      </w:rPr>
    </w:lvl>
    <w:lvl w:ilvl="2" w:tentative="0">
      <w:start w:val="1"/>
      <w:numFmt w:val="bullet"/>
      <w:lvlText w:val=""/>
      <w:lvlJc w:val="left"/>
      <w:pPr>
        <w:ind w:left="1692" w:hanging="420"/>
      </w:pPr>
      <w:rPr>
        <w:rFonts w:hint="default" w:ascii="Wingdings" w:hAnsi="Wingdings"/>
      </w:rPr>
    </w:lvl>
    <w:lvl w:ilvl="3" w:tentative="0">
      <w:start w:val="1"/>
      <w:numFmt w:val="bullet"/>
      <w:lvlText w:val=""/>
      <w:lvlJc w:val="left"/>
      <w:pPr>
        <w:ind w:left="2112" w:hanging="420"/>
      </w:pPr>
      <w:rPr>
        <w:rFonts w:hint="default" w:ascii="Wingdings" w:hAnsi="Wingdings"/>
      </w:rPr>
    </w:lvl>
    <w:lvl w:ilvl="4" w:tentative="0">
      <w:start w:val="1"/>
      <w:numFmt w:val="bullet"/>
      <w:lvlText w:val=""/>
      <w:lvlJc w:val="left"/>
      <w:pPr>
        <w:ind w:left="2532" w:hanging="420"/>
      </w:pPr>
      <w:rPr>
        <w:rFonts w:hint="default" w:ascii="Wingdings" w:hAnsi="Wingdings"/>
      </w:rPr>
    </w:lvl>
    <w:lvl w:ilvl="5" w:tentative="0">
      <w:start w:val="1"/>
      <w:numFmt w:val="bullet"/>
      <w:lvlText w:val=""/>
      <w:lvlJc w:val="left"/>
      <w:pPr>
        <w:ind w:left="2952" w:hanging="420"/>
      </w:pPr>
      <w:rPr>
        <w:rFonts w:hint="default" w:ascii="Wingdings" w:hAnsi="Wingdings"/>
      </w:rPr>
    </w:lvl>
    <w:lvl w:ilvl="6" w:tentative="0">
      <w:start w:val="1"/>
      <w:numFmt w:val="bullet"/>
      <w:lvlText w:val=""/>
      <w:lvlJc w:val="left"/>
      <w:pPr>
        <w:ind w:left="3372" w:hanging="420"/>
      </w:pPr>
      <w:rPr>
        <w:rFonts w:hint="default" w:ascii="Wingdings" w:hAnsi="Wingdings"/>
      </w:rPr>
    </w:lvl>
    <w:lvl w:ilvl="7" w:tentative="0">
      <w:start w:val="1"/>
      <w:numFmt w:val="bullet"/>
      <w:lvlText w:val=""/>
      <w:lvlJc w:val="left"/>
      <w:pPr>
        <w:ind w:left="3792" w:hanging="420"/>
      </w:pPr>
      <w:rPr>
        <w:rFonts w:hint="default" w:ascii="Wingdings" w:hAnsi="Wingdings"/>
      </w:rPr>
    </w:lvl>
    <w:lvl w:ilvl="8" w:tentative="0">
      <w:start w:val="1"/>
      <w:numFmt w:val="bullet"/>
      <w:lvlText w:val=""/>
      <w:lvlJc w:val="left"/>
      <w:pPr>
        <w:ind w:left="4212" w:hanging="420"/>
      </w:pPr>
      <w:rPr>
        <w:rFonts w:hint="default" w:ascii="Wingdings" w:hAnsi="Wingdings"/>
      </w:rPr>
    </w:lvl>
  </w:abstractNum>
  <w:num w:numId="1">
    <w:abstractNumId w:val="9"/>
  </w:num>
  <w:num w:numId="2">
    <w:abstractNumId w:val="8"/>
  </w:num>
  <w:num w:numId="3">
    <w:abstractNumId w:val="7"/>
  </w:num>
  <w:num w:numId="4">
    <w:abstractNumId w:val="11"/>
  </w:num>
  <w:num w:numId="5">
    <w:abstractNumId w:val="2"/>
  </w:num>
  <w:num w:numId="6">
    <w:abstractNumId w:val="6"/>
  </w:num>
  <w:num w:numId="7">
    <w:abstractNumId w:val="10"/>
  </w:num>
  <w:num w:numId="8">
    <w:abstractNumId w:val="3"/>
  </w:num>
  <w:num w:numId="9">
    <w:abstractNumId w:val="0"/>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6E3"/>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4AC"/>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1C7"/>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52641"/>
    <w:rsid w:val="06A6721A"/>
    <w:rsid w:val="06AF2646"/>
    <w:rsid w:val="06B12838"/>
    <w:rsid w:val="06B22578"/>
    <w:rsid w:val="06B277C2"/>
    <w:rsid w:val="06B5559D"/>
    <w:rsid w:val="06C648B1"/>
    <w:rsid w:val="06CF35BD"/>
    <w:rsid w:val="06D42797"/>
    <w:rsid w:val="06D51C0F"/>
    <w:rsid w:val="06E4414A"/>
    <w:rsid w:val="06E84D75"/>
    <w:rsid w:val="06EB2F6E"/>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50A95"/>
    <w:rsid w:val="07767F1E"/>
    <w:rsid w:val="07781143"/>
    <w:rsid w:val="077B726A"/>
    <w:rsid w:val="077E3FD9"/>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1478EB"/>
    <w:rsid w:val="09233A88"/>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209E5"/>
    <w:rsid w:val="12B43E24"/>
    <w:rsid w:val="12C336A4"/>
    <w:rsid w:val="12C444E1"/>
    <w:rsid w:val="12C60939"/>
    <w:rsid w:val="12DA12F7"/>
    <w:rsid w:val="12DB4798"/>
    <w:rsid w:val="12E0156B"/>
    <w:rsid w:val="12F00E7B"/>
    <w:rsid w:val="12F85E8C"/>
    <w:rsid w:val="12F95EB4"/>
    <w:rsid w:val="12FF021F"/>
    <w:rsid w:val="13022B2F"/>
    <w:rsid w:val="13076BAF"/>
    <w:rsid w:val="130A6AD2"/>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D65F1"/>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B009A"/>
    <w:rsid w:val="1B5C0AA7"/>
    <w:rsid w:val="1B5C4B10"/>
    <w:rsid w:val="1B5C767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31D3F"/>
    <w:rsid w:val="1EA51FFC"/>
    <w:rsid w:val="1EA96187"/>
    <w:rsid w:val="1EAA60DB"/>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64F34"/>
    <w:rsid w:val="23E75469"/>
    <w:rsid w:val="23EE1A0B"/>
    <w:rsid w:val="23EE32CE"/>
    <w:rsid w:val="23F31841"/>
    <w:rsid w:val="23F650B1"/>
    <w:rsid w:val="23FD2741"/>
    <w:rsid w:val="24054AA6"/>
    <w:rsid w:val="24055D97"/>
    <w:rsid w:val="240C233A"/>
    <w:rsid w:val="240F66A9"/>
    <w:rsid w:val="24107D2B"/>
    <w:rsid w:val="241157A7"/>
    <w:rsid w:val="24191D8F"/>
    <w:rsid w:val="242148AF"/>
    <w:rsid w:val="24373F32"/>
    <w:rsid w:val="24444FD4"/>
    <w:rsid w:val="24452036"/>
    <w:rsid w:val="24464871"/>
    <w:rsid w:val="244A34E7"/>
    <w:rsid w:val="245D17E8"/>
    <w:rsid w:val="245D35CF"/>
    <w:rsid w:val="24706349"/>
    <w:rsid w:val="24740EAF"/>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A3A4D"/>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05627"/>
    <w:rsid w:val="27321F5C"/>
    <w:rsid w:val="273C76EB"/>
    <w:rsid w:val="273E15AB"/>
    <w:rsid w:val="274159F7"/>
    <w:rsid w:val="27492EA8"/>
    <w:rsid w:val="274B09CE"/>
    <w:rsid w:val="275269EE"/>
    <w:rsid w:val="27582782"/>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468E"/>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681CA4"/>
    <w:rsid w:val="2E89270D"/>
    <w:rsid w:val="2E8D509B"/>
    <w:rsid w:val="2E930996"/>
    <w:rsid w:val="2EA25FFF"/>
    <w:rsid w:val="2EA469A3"/>
    <w:rsid w:val="2EAE08A6"/>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F653E9"/>
    <w:rsid w:val="3108167F"/>
    <w:rsid w:val="31081AAA"/>
    <w:rsid w:val="3112474F"/>
    <w:rsid w:val="311C7FAB"/>
    <w:rsid w:val="311F0D23"/>
    <w:rsid w:val="311F4CEA"/>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79408A"/>
    <w:rsid w:val="327E4D99"/>
    <w:rsid w:val="329A4DD0"/>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201F6"/>
    <w:rsid w:val="35940857"/>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F44EC"/>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5588B"/>
    <w:rsid w:val="379B3351"/>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74B76"/>
    <w:rsid w:val="3A6D66ED"/>
    <w:rsid w:val="3A7116FC"/>
    <w:rsid w:val="3A736A4A"/>
    <w:rsid w:val="3A76541F"/>
    <w:rsid w:val="3A7D75EF"/>
    <w:rsid w:val="3A7E0308"/>
    <w:rsid w:val="3A881F93"/>
    <w:rsid w:val="3A8D11CC"/>
    <w:rsid w:val="3A9A07D3"/>
    <w:rsid w:val="3A9C50AA"/>
    <w:rsid w:val="3AA312D0"/>
    <w:rsid w:val="3AB06715"/>
    <w:rsid w:val="3AC351F1"/>
    <w:rsid w:val="3AC91008"/>
    <w:rsid w:val="3ACB29D2"/>
    <w:rsid w:val="3ACB36E9"/>
    <w:rsid w:val="3ACB7871"/>
    <w:rsid w:val="3ACE6056"/>
    <w:rsid w:val="3AD34546"/>
    <w:rsid w:val="3AD847A7"/>
    <w:rsid w:val="3ADA3867"/>
    <w:rsid w:val="3AE15E3F"/>
    <w:rsid w:val="3AEF76B1"/>
    <w:rsid w:val="3AF27012"/>
    <w:rsid w:val="3B0114CC"/>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48D7"/>
    <w:rsid w:val="41E76E0D"/>
    <w:rsid w:val="41FA376E"/>
    <w:rsid w:val="41FE6CB2"/>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31C07"/>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34B28"/>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D2FF7"/>
    <w:rsid w:val="4B3221B7"/>
    <w:rsid w:val="4B33287D"/>
    <w:rsid w:val="4B3C403E"/>
    <w:rsid w:val="4B441501"/>
    <w:rsid w:val="4B4A1E20"/>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D58F7"/>
    <w:rsid w:val="4E101469"/>
    <w:rsid w:val="4E17118C"/>
    <w:rsid w:val="4E2B2FCF"/>
    <w:rsid w:val="4E303B38"/>
    <w:rsid w:val="4E333BB5"/>
    <w:rsid w:val="4E357F6B"/>
    <w:rsid w:val="4E371BF7"/>
    <w:rsid w:val="4E3D688F"/>
    <w:rsid w:val="4E3E6E2C"/>
    <w:rsid w:val="4E4409F8"/>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D1FA0"/>
    <w:rsid w:val="53772DC7"/>
    <w:rsid w:val="537920B8"/>
    <w:rsid w:val="537B36A7"/>
    <w:rsid w:val="5381746B"/>
    <w:rsid w:val="538459BE"/>
    <w:rsid w:val="538E4601"/>
    <w:rsid w:val="5391596F"/>
    <w:rsid w:val="5397293F"/>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751D2"/>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5C36BA"/>
    <w:rsid w:val="54656AB0"/>
    <w:rsid w:val="546A78D3"/>
    <w:rsid w:val="54767E31"/>
    <w:rsid w:val="54774F77"/>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E934B6"/>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96050"/>
    <w:rsid w:val="56D418EA"/>
    <w:rsid w:val="56D43345"/>
    <w:rsid w:val="56E365E9"/>
    <w:rsid w:val="56E8313E"/>
    <w:rsid w:val="56EB4412"/>
    <w:rsid w:val="56F418BC"/>
    <w:rsid w:val="57024A7F"/>
    <w:rsid w:val="570C2BE8"/>
    <w:rsid w:val="570D00B1"/>
    <w:rsid w:val="570D35F8"/>
    <w:rsid w:val="571766D6"/>
    <w:rsid w:val="57273EC6"/>
    <w:rsid w:val="57320543"/>
    <w:rsid w:val="57351A93"/>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F35AE7"/>
    <w:rsid w:val="58F36460"/>
    <w:rsid w:val="58F417E6"/>
    <w:rsid w:val="58F70CD1"/>
    <w:rsid w:val="58FA52BE"/>
    <w:rsid w:val="590139A8"/>
    <w:rsid w:val="59037DF7"/>
    <w:rsid w:val="590A5CB9"/>
    <w:rsid w:val="590C6777"/>
    <w:rsid w:val="5913729C"/>
    <w:rsid w:val="591531CC"/>
    <w:rsid w:val="591B200C"/>
    <w:rsid w:val="591E4D3F"/>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5A1B03"/>
    <w:rsid w:val="5C63455C"/>
    <w:rsid w:val="5C690B0C"/>
    <w:rsid w:val="5C7103F1"/>
    <w:rsid w:val="5C734616"/>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DF68BB"/>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06ECC"/>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40E13"/>
    <w:rsid w:val="66E85249"/>
    <w:rsid w:val="66EB12C4"/>
    <w:rsid w:val="66F00C0C"/>
    <w:rsid w:val="66F05D75"/>
    <w:rsid w:val="66F14286"/>
    <w:rsid w:val="66F43AE9"/>
    <w:rsid w:val="66FF75FB"/>
    <w:rsid w:val="67097AAA"/>
    <w:rsid w:val="670D1B71"/>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770B8"/>
    <w:rsid w:val="683965C1"/>
    <w:rsid w:val="683B5DF7"/>
    <w:rsid w:val="683C6775"/>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511E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E80FA2"/>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80882"/>
    <w:rsid w:val="6F506CA5"/>
    <w:rsid w:val="6F52797F"/>
    <w:rsid w:val="6F5334ED"/>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A36F4"/>
    <w:rsid w:val="7526226A"/>
    <w:rsid w:val="75280AAD"/>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D85DBE"/>
    <w:rsid w:val="7DDA4118"/>
    <w:rsid w:val="7DE750D0"/>
    <w:rsid w:val="7DE8415F"/>
    <w:rsid w:val="7DF742E6"/>
    <w:rsid w:val="7DFC489D"/>
    <w:rsid w:val="7E075414"/>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 w:val="7FFA720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paragraph" w:customStyle="1" w:styleId="89">
    <w:name w:val="0maintext"/>
    <w:basedOn w:val="1"/>
    <w:qFormat/>
    <w:uiPriority w:val="0"/>
    <w:rPr>
      <w:rFonts w:ascii="Times New Roman" w:hAnsi="Times New Roman"/>
      <w:sz w:val="16"/>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094BDB-E948-454C-BAB7-7655D0759FD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2990</Words>
  <Characters>17046</Characters>
  <Lines>142</Lines>
  <Paragraphs>39</Paragraphs>
  <TotalTime>12</TotalTime>
  <ScaleCrop>false</ScaleCrop>
  <LinksUpToDate>false</LinksUpToDate>
  <CharactersWithSpaces>19997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panyu</cp:lastModifiedBy>
  <dcterms:modified xsi:type="dcterms:W3CDTF">2021-05-11T07:04:54Z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